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D6" w:rsidRPr="00037A8C" w:rsidRDefault="007D4221" w:rsidP="007D4221">
      <w:pPr>
        <w:jc w:val="center"/>
        <w:rPr>
          <w:b/>
          <w:sz w:val="40"/>
          <w:szCs w:val="40"/>
          <w:u w:val="single"/>
        </w:rPr>
      </w:pPr>
      <w:r w:rsidRPr="00037A8C">
        <w:rPr>
          <w:b/>
          <w:i/>
          <w:iCs/>
          <w:sz w:val="40"/>
          <w:szCs w:val="40"/>
          <w:u w:val="single"/>
        </w:rPr>
        <w:t>Top 10 Common Core Facts</w:t>
      </w:r>
    </w:p>
    <w:p w:rsidR="00F1124F" w:rsidRPr="009B194D" w:rsidRDefault="00FB3BD6" w:rsidP="006241BA">
      <w:pPr>
        <w:pStyle w:val="ListParagraph"/>
        <w:numPr>
          <w:ilvl w:val="0"/>
          <w:numId w:val="3"/>
        </w:numPr>
        <w:spacing w:after="40"/>
        <w:rPr>
          <w:rFonts w:cs="Arial"/>
          <w:sz w:val="28"/>
          <w:szCs w:val="28"/>
        </w:rPr>
      </w:pPr>
      <w:r w:rsidRPr="00E43EA9">
        <w:rPr>
          <w:b/>
          <w:sz w:val="28"/>
          <w:szCs w:val="28"/>
        </w:rPr>
        <w:t>Why do we need new standards?</w:t>
      </w:r>
      <w:r w:rsidRPr="009B194D">
        <w:rPr>
          <w:sz w:val="28"/>
          <w:szCs w:val="28"/>
        </w:rPr>
        <w:t xml:space="preserve"> N</w:t>
      </w:r>
      <w:r w:rsidRPr="009B194D">
        <w:rPr>
          <w:rFonts w:cs="Arial"/>
          <w:sz w:val="28"/>
          <w:szCs w:val="28"/>
        </w:rPr>
        <w:t xml:space="preserve">ot every student in the United States has access to a great public school. </w:t>
      </w:r>
      <w:r w:rsidR="00F1124F" w:rsidRPr="009B194D">
        <w:rPr>
          <w:rFonts w:cs="Arial"/>
          <w:sz w:val="28"/>
          <w:szCs w:val="28"/>
        </w:rPr>
        <w:t xml:space="preserve">Not every school is offering its students the rigorous coursework necessary to transition smoothly to postsecondary educational options without remediation. </w:t>
      </w:r>
      <w:r w:rsidR="009B194D">
        <w:rPr>
          <w:rFonts w:cs="Arial"/>
          <w:sz w:val="28"/>
          <w:szCs w:val="28"/>
        </w:rPr>
        <w:t>G</w:t>
      </w:r>
      <w:r w:rsidRPr="009B194D">
        <w:rPr>
          <w:rFonts w:cs="Arial"/>
          <w:sz w:val="28"/>
          <w:szCs w:val="28"/>
        </w:rPr>
        <w:t>raduation rates are improving incrementally</w:t>
      </w:r>
      <w:r w:rsidR="00F1124F" w:rsidRPr="009B194D">
        <w:rPr>
          <w:rFonts w:cs="Arial"/>
          <w:sz w:val="28"/>
          <w:szCs w:val="28"/>
        </w:rPr>
        <w:t xml:space="preserve">, but it is clear that </w:t>
      </w:r>
      <w:r w:rsidRPr="009B194D">
        <w:rPr>
          <w:rFonts w:cs="Arial"/>
          <w:sz w:val="28"/>
          <w:szCs w:val="28"/>
        </w:rPr>
        <w:t>gaps that fall along ethnic and racial lines still persist an</w:t>
      </w:r>
      <w:bookmarkStart w:id="0" w:name="_GoBack"/>
      <w:bookmarkEnd w:id="0"/>
      <w:r w:rsidRPr="009B194D">
        <w:rPr>
          <w:rFonts w:cs="Arial"/>
          <w:sz w:val="28"/>
          <w:szCs w:val="28"/>
        </w:rPr>
        <w:t>d that the enduring dropout rates cannot persist if this country is going to be glob</w:t>
      </w:r>
      <w:r w:rsidR="00FD2140">
        <w:rPr>
          <w:rFonts w:cs="Arial"/>
          <w:sz w:val="28"/>
          <w:szCs w:val="28"/>
        </w:rPr>
        <w:t>ally competitive in the future</w:t>
      </w:r>
    </w:p>
    <w:p w:rsidR="006241BA" w:rsidRPr="009B194D" w:rsidRDefault="006241BA" w:rsidP="006241BA">
      <w:pPr>
        <w:numPr>
          <w:ilvl w:val="0"/>
          <w:numId w:val="3"/>
        </w:numPr>
        <w:spacing w:after="40"/>
        <w:rPr>
          <w:sz w:val="28"/>
          <w:szCs w:val="28"/>
        </w:rPr>
      </w:pPr>
      <w:r w:rsidRPr="00E43EA9">
        <w:rPr>
          <w:b/>
          <w:sz w:val="28"/>
          <w:szCs w:val="28"/>
        </w:rPr>
        <w:t>Who?</w:t>
      </w:r>
      <w:r w:rsidRPr="009B194D">
        <w:rPr>
          <w:sz w:val="28"/>
          <w:szCs w:val="28"/>
        </w:rPr>
        <w:t xml:space="preserve"> States developed the common core state standards (CCSS) together and</w:t>
      </w:r>
      <w:r>
        <w:rPr>
          <w:sz w:val="28"/>
          <w:szCs w:val="28"/>
        </w:rPr>
        <w:t xml:space="preserve"> most</w:t>
      </w:r>
      <w:r w:rsidRPr="009B194D">
        <w:rPr>
          <w:sz w:val="28"/>
          <w:szCs w:val="28"/>
        </w:rPr>
        <w:t xml:space="preserve"> voluntarily adopted them</w:t>
      </w:r>
    </w:p>
    <w:p w:rsidR="006241BA" w:rsidRPr="009B194D" w:rsidRDefault="006241BA" w:rsidP="006241BA">
      <w:pPr>
        <w:numPr>
          <w:ilvl w:val="0"/>
          <w:numId w:val="3"/>
        </w:numPr>
        <w:spacing w:after="40"/>
        <w:rPr>
          <w:sz w:val="28"/>
          <w:szCs w:val="28"/>
        </w:rPr>
      </w:pPr>
      <w:r w:rsidRPr="00E43EA9">
        <w:rPr>
          <w:b/>
          <w:sz w:val="28"/>
          <w:szCs w:val="28"/>
        </w:rPr>
        <w:t>How many?</w:t>
      </w:r>
      <w:r w:rsidRPr="009B194D">
        <w:rPr>
          <w:sz w:val="28"/>
          <w:szCs w:val="28"/>
        </w:rPr>
        <w:t xml:space="preserve"> To date, 45 states plus the District of Columbia have adopted the CCSSS</w:t>
      </w:r>
    </w:p>
    <w:p w:rsidR="00FB3BD6" w:rsidRPr="009B194D" w:rsidRDefault="00FB3BD6" w:rsidP="006241BA">
      <w:pPr>
        <w:pStyle w:val="ListParagraph"/>
        <w:numPr>
          <w:ilvl w:val="0"/>
          <w:numId w:val="3"/>
        </w:numPr>
        <w:spacing w:after="40"/>
        <w:rPr>
          <w:sz w:val="28"/>
          <w:szCs w:val="28"/>
        </w:rPr>
      </w:pPr>
      <w:r w:rsidRPr="00E43EA9">
        <w:rPr>
          <w:b/>
          <w:sz w:val="28"/>
          <w:szCs w:val="28"/>
        </w:rPr>
        <w:t>What’s covered?</w:t>
      </w:r>
      <w:r w:rsidRPr="009B194D">
        <w:rPr>
          <w:sz w:val="28"/>
          <w:szCs w:val="28"/>
        </w:rPr>
        <w:t xml:space="preserve"> Mathematics and English language arts and literacy (ELA), with science coming soon</w:t>
      </w:r>
    </w:p>
    <w:p w:rsidR="00FB3BD6" w:rsidRPr="009B194D" w:rsidRDefault="00FB3BD6" w:rsidP="006241BA">
      <w:pPr>
        <w:numPr>
          <w:ilvl w:val="0"/>
          <w:numId w:val="3"/>
        </w:numPr>
        <w:spacing w:after="40"/>
        <w:rPr>
          <w:sz w:val="28"/>
          <w:szCs w:val="28"/>
        </w:rPr>
      </w:pPr>
      <w:r w:rsidRPr="00E43EA9">
        <w:rPr>
          <w:b/>
          <w:sz w:val="28"/>
          <w:szCs w:val="28"/>
        </w:rPr>
        <w:t>When?</w:t>
      </w:r>
      <w:r w:rsidRPr="009B194D">
        <w:rPr>
          <w:sz w:val="28"/>
          <w:szCs w:val="28"/>
        </w:rPr>
        <w:t xml:space="preserve"> States must implement the math</w:t>
      </w:r>
      <w:r w:rsidR="00532CBF" w:rsidRPr="009B194D">
        <w:rPr>
          <w:sz w:val="28"/>
          <w:szCs w:val="28"/>
        </w:rPr>
        <w:t>ematics</w:t>
      </w:r>
      <w:r w:rsidRPr="009B194D">
        <w:rPr>
          <w:sz w:val="28"/>
          <w:szCs w:val="28"/>
        </w:rPr>
        <w:t xml:space="preserve"> and ELA common core standards by 2013-14 school year</w:t>
      </w:r>
    </w:p>
    <w:p w:rsidR="00FB3BD6" w:rsidRPr="009B194D" w:rsidRDefault="00FB3BD6" w:rsidP="006241BA">
      <w:pPr>
        <w:numPr>
          <w:ilvl w:val="0"/>
          <w:numId w:val="3"/>
        </w:numPr>
        <w:spacing w:after="40"/>
        <w:rPr>
          <w:sz w:val="28"/>
          <w:szCs w:val="28"/>
        </w:rPr>
      </w:pPr>
      <w:r w:rsidRPr="00E43EA9">
        <w:rPr>
          <w:b/>
          <w:sz w:val="28"/>
          <w:szCs w:val="28"/>
        </w:rPr>
        <w:t>What’s different about these standards?</w:t>
      </w:r>
      <w:r w:rsidRPr="009B194D">
        <w:rPr>
          <w:sz w:val="28"/>
          <w:szCs w:val="28"/>
        </w:rPr>
        <w:t xml:space="preserve"> The</w:t>
      </w:r>
      <w:r w:rsidR="009B194D">
        <w:rPr>
          <w:sz w:val="28"/>
          <w:szCs w:val="28"/>
        </w:rPr>
        <w:t xml:space="preserve">y are </w:t>
      </w:r>
      <w:r w:rsidRPr="009B194D">
        <w:rPr>
          <w:sz w:val="28"/>
          <w:szCs w:val="28"/>
        </w:rPr>
        <w:t xml:space="preserve">fewer </w:t>
      </w:r>
      <w:r w:rsidR="009B194D">
        <w:rPr>
          <w:sz w:val="28"/>
          <w:szCs w:val="28"/>
        </w:rPr>
        <w:t>in number</w:t>
      </w:r>
      <w:r w:rsidRPr="009B194D">
        <w:rPr>
          <w:sz w:val="28"/>
          <w:szCs w:val="28"/>
        </w:rPr>
        <w:t xml:space="preserve">, clearer, encompass broad academic goals, and designed to prepare students for a variety of postsecondary experiences. The </w:t>
      </w:r>
      <w:r w:rsidR="009B194D">
        <w:rPr>
          <w:sz w:val="28"/>
          <w:szCs w:val="28"/>
        </w:rPr>
        <w:t>CCSS</w:t>
      </w:r>
      <w:r w:rsidRPr="009B194D">
        <w:rPr>
          <w:sz w:val="28"/>
          <w:szCs w:val="28"/>
        </w:rPr>
        <w:t xml:space="preserve"> also are more challenging than most of the current state standards</w:t>
      </w:r>
      <w:r w:rsidR="00F1124F" w:rsidRPr="009B194D">
        <w:rPr>
          <w:sz w:val="28"/>
          <w:szCs w:val="28"/>
        </w:rPr>
        <w:t xml:space="preserve"> and provide clarity and consistency about what is expected of student</w:t>
      </w:r>
      <w:r w:rsidR="009B194D">
        <w:rPr>
          <w:sz w:val="28"/>
          <w:szCs w:val="28"/>
        </w:rPr>
        <w:t>s</w:t>
      </w:r>
      <w:r w:rsidRPr="009B194D">
        <w:rPr>
          <w:sz w:val="28"/>
          <w:szCs w:val="28"/>
        </w:rPr>
        <w:t xml:space="preserve"> </w:t>
      </w:r>
    </w:p>
    <w:p w:rsidR="00FB3BD6" w:rsidRPr="009B194D" w:rsidRDefault="00FB3BD6" w:rsidP="006241BA">
      <w:pPr>
        <w:numPr>
          <w:ilvl w:val="0"/>
          <w:numId w:val="3"/>
        </w:numPr>
        <w:spacing w:after="40"/>
        <w:rPr>
          <w:sz w:val="28"/>
          <w:szCs w:val="28"/>
        </w:rPr>
      </w:pPr>
      <w:r w:rsidRPr="00E43EA9">
        <w:rPr>
          <w:b/>
          <w:sz w:val="28"/>
          <w:szCs w:val="28"/>
        </w:rPr>
        <w:t>Will there be new tests?</w:t>
      </w:r>
      <w:r w:rsidRPr="009B194D">
        <w:rPr>
          <w:sz w:val="28"/>
          <w:szCs w:val="28"/>
        </w:rPr>
        <w:t xml:space="preserve"> Yes, states must use the related </w:t>
      </w:r>
      <w:r w:rsidR="007D4221" w:rsidRPr="009B194D">
        <w:rPr>
          <w:sz w:val="28"/>
          <w:szCs w:val="28"/>
        </w:rPr>
        <w:t xml:space="preserve">mathematics and ELA </w:t>
      </w:r>
      <w:r w:rsidRPr="009B194D">
        <w:rPr>
          <w:sz w:val="28"/>
          <w:szCs w:val="28"/>
        </w:rPr>
        <w:t>assessments by the 2014-2015 school year</w:t>
      </w:r>
    </w:p>
    <w:p w:rsidR="00FB3BD6" w:rsidRPr="009B194D" w:rsidRDefault="00FB3BD6" w:rsidP="006241BA">
      <w:pPr>
        <w:numPr>
          <w:ilvl w:val="0"/>
          <w:numId w:val="3"/>
        </w:numPr>
        <w:spacing w:after="40"/>
        <w:rPr>
          <w:rFonts w:cstheme="minorHAnsi"/>
          <w:sz w:val="28"/>
          <w:szCs w:val="28"/>
        </w:rPr>
      </w:pPr>
      <w:r w:rsidRPr="00E43EA9">
        <w:rPr>
          <w:b/>
          <w:sz w:val="28"/>
          <w:szCs w:val="28"/>
        </w:rPr>
        <w:t>Will the</w:t>
      </w:r>
      <w:r w:rsidR="007D4221" w:rsidRPr="00E43EA9">
        <w:rPr>
          <w:b/>
          <w:sz w:val="28"/>
          <w:szCs w:val="28"/>
        </w:rPr>
        <w:t>se</w:t>
      </w:r>
      <w:r w:rsidRPr="00E43EA9">
        <w:rPr>
          <w:b/>
          <w:sz w:val="28"/>
          <w:szCs w:val="28"/>
        </w:rPr>
        <w:t xml:space="preserve"> tests </w:t>
      </w:r>
      <w:r w:rsidRPr="00E43EA9">
        <w:rPr>
          <w:rFonts w:cstheme="minorHAnsi"/>
          <w:b/>
          <w:sz w:val="28"/>
          <w:szCs w:val="28"/>
        </w:rPr>
        <w:t>be different?</w:t>
      </w:r>
      <w:r w:rsidRPr="009B194D">
        <w:rPr>
          <w:rFonts w:cstheme="minorHAnsi"/>
          <w:sz w:val="28"/>
          <w:szCs w:val="28"/>
        </w:rPr>
        <w:t xml:space="preserve"> Yes, the ‘next generation assessments’ will </w:t>
      </w:r>
      <w:r w:rsidR="007D4221" w:rsidRPr="009B194D">
        <w:rPr>
          <w:rFonts w:cstheme="minorHAnsi"/>
          <w:sz w:val="28"/>
          <w:szCs w:val="28"/>
        </w:rPr>
        <w:t>provide better and more timely and useable feedback to students, parents, and educators</w:t>
      </w:r>
    </w:p>
    <w:p w:rsidR="007D4221" w:rsidRPr="009B194D" w:rsidRDefault="007D4221" w:rsidP="006241BA">
      <w:pPr>
        <w:numPr>
          <w:ilvl w:val="0"/>
          <w:numId w:val="3"/>
        </w:numPr>
        <w:spacing w:after="40"/>
        <w:rPr>
          <w:rFonts w:cstheme="minorHAnsi"/>
          <w:sz w:val="28"/>
          <w:szCs w:val="28"/>
        </w:rPr>
      </w:pPr>
      <w:r w:rsidRPr="00E43EA9">
        <w:rPr>
          <w:rFonts w:cstheme="minorHAnsi"/>
          <w:b/>
          <w:sz w:val="28"/>
          <w:szCs w:val="28"/>
        </w:rPr>
        <w:t>Will these standards tell teachers how to teach?</w:t>
      </w:r>
      <w:r w:rsidRPr="009B194D">
        <w:rPr>
          <w:rFonts w:cstheme="minorHAnsi"/>
          <w:sz w:val="28"/>
          <w:szCs w:val="28"/>
        </w:rPr>
        <w:t xml:space="preserve"> No, they will provide teachers flexibility to use professional judgment to design instruction </w:t>
      </w:r>
      <w:r w:rsidR="00E43EA9">
        <w:rPr>
          <w:rFonts w:cstheme="minorHAnsi"/>
          <w:sz w:val="28"/>
          <w:szCs w:val="28"/>
        </w:rPr>
        <w:t xml:space="preserve">for </w:t>
      </w:r>
      <w:r w:rsidR="002B34E5" w:rsidRPr="009B194D">
        <w:rPr>
          <w:rFonts w:cstheme="minorHAnsi"/>
          <w:sz w:val="28"/>
          <w:szCs w:val="28"/>
        </w:rPr>
        <w:t>student success</w:t>
      </w:r>
    </w:p>
    <w:p w:rsidR="007D4221" w:rsidRPr="009B194D" w:rsidRDefault="00F1124F" w:rsidP="006241BA">
      <w:pPr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E43EA9">
        <w:rPr>
          <w:rFonts w:cstheme="minorHAnsi"/>
          <w:b/>
          <w:sz w:val="28"/>
          <w:szCs w:val="28"/>
        </w:rPr>
        <w:t xml:space="preserve"> What about students with disabilities and English </w:t>
      </w:r>
      <w:r w:rsidR="000B6A48" w:rsidRPr="00E43EA9">
        <w:rPr>
          <w:rFonts w:cstheme="minorHAnsi"/>
          <w:b/>
          <w:sz w:val="28"/>
          <w:szCs w:val="28"/>
        </w:rPr>
        <w:t xml:space="preserve">language </w:t>
      </w:r>
      <w:r w:rsidRPr="00E43EA9">
        <w:rPr>
          <w:rFonts w:cstheme="minorHAnsi"/>
          <w:b/>
          <w:sz w:val="28"/>
          <w:szCs w:val="28"/>
        </w:rPr>
        <w:t>learners?</w:t>
      </w:r>
      <w:r w:rsidRPr="009B194D">
        <w:rPr>
          <w:rFonts w:cstheme="minorHAnsi"/>
          <w:sz w:val="28"/>
          <w:szCs w:val="28"/>
        </w:rPr>
        <w:t xml:space="preserve"> The CCSS </w:t>
      </w:r>
      <w:r w:rsidRPr="009B194D">
        <w:rPr>
          <w:rFonts w:cs="Avenir 35 Light"/>
          <w:color w:val="221E1F"/>
          <w:sz w:val="28"/>
          <w:szCs w:val="28"/>
        </w:rPr>
        <w:t>provide an historic opportunity to improve access to rigorous academic content standards for ALL students. For student</w:t>
      </w:r>
      <w:r w:rsidR="000B6A48" w:rsidRPr="009B194D">
        <w:rPr>
          <w:rFonts w:cs="Avenir 35 Light"/>
          <w:color w:val="221E1F"/>
          <w:sz w:val="28"/>
          <w:szCs w:val="28"/>
        </w:rPr>
        <w:t>s</w:t>
      </w:r>
      <w:r w:rsidRPr="009B194D">
        <w:rPr>
          <w:rFonts w:cs="Avenir 35 Light"/>
          <w:color w:val="221E1F"/>
          <w:sz w:val="28"/>
          <w:szCs w:val="28"/>
        </w:rPr>
        <w:t xml:space="preserve"> with disabilities and English </w:t>
      </w:r>
      <w:r w:rsidR="000B6A48" w:rsidRPr="009B194D">
        <w:rPr>
          <w:rFonts w:cs="Avenir 35 Light"/>
          <w:color w:val="221E1F"/>
          <w:sz w:val="28"/>
          <w:szCs w:val="28"/>
        </w:rPr>
        <w:t xml:space="preserve">language </w:t>
      </w:r>
      <w:r w:rsidRPr="009B194D">
        <w:rPr>
          <w:rFonts w:cs="Avenir 35 Light"/>
          <w:color w:val="221E1F"/>
          <w:sz w:val="28"/>
          <w:szCs w:val="28"/>
        </w:rPr>
        <w:t xml:space="preserve">learners to meet the standards and fully demonstrate their knowledge and skills, their instruction and assessments must incorporate necessary </w:t>
      </w:r>
      <w:r w:rsidR="00FD2140">
        <w:rPr>
          <w:rFonts w:cs="Avenir 35 Light"/>
          <w:color w:val="221E1F"/>
          <w:sz w:val="28"/>
          <w:szCs w:val="28"/>
        </w:rPr>
        <w:t>supports and accommodations</w:t>
      </w:r>
    </w:p>
    <w:sectPr w:rsidR="007D4221" w:rsidRPr="009B194D" w:rsidSect="006241BA">
      <w:footerReference w:type="default" r:id="rId9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95" w:rsidRDefault="000E7795" w:rsidP="00894560">
      <w:pPr>
        <w:spacing w:after="0" w:line="240" w:lineRule="auto"/>
      </w:pPr>
      <w:r>
        <w:separator/>
      </w:r>
    </w:p>
  </w:endnote>
  <w:endnote w:type="continuationSeparator" w:id="0">
    <w:p w:rsidR="000E7795" w:rsidRDefault="000E7795" w:rsidP="0089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95" w:rsidRDefault="000E7795" w:rsidP="009B194D">
    <w:pPr>
      <w:pStyle w:val="Footer"/>
      <w:jc w:val="center"/>
      <w:rPr>
        <w:noProof/>
      </w:rPr>
    </w:pPr>
    <w:hyperlink r:id="rId1" w:history="1">
      <w:r w:rsidRPr="00134F45">
        <w:rPr>
          <w:rStyle w:val="Hyperlink"/>
          <w:noProof/>
        </w:rPr>
        <w:t>www.nea.org/commoncore</w:t>
      </w:r>
    </w:hyperlink>
  </w:p>
  <w:p w:rsidR="000E7795" w:rsidRDefault="000E7795" w:rsidP="009B194D">
    <w:pPr>
      <w:pStyle w:val="Footer"/>
      <w:jc w:val="center"/>
      <w:rPr>
        <w:noProof/>
      </w:rPr>
    </w:pPr>
    <w:r>
      <w:rPr>
        <w:noProof/>
      </w:rPr>
      <w:drawing>
        <wp:inline distT="0" distB="0" distL="0" distR="0" wp14:anchorId="5F68AC87" wp14:editId="4DAF8E7C">
          <wp:extent cx="1951444" cy="1019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_RYH_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6" r="3396" b="32123"/>
                  <a:stretch/>
                </pic:blipFill>
                <pic:spPr bwMode="auto">
                  <a:xfrm>
                    <a:off x="0" y="0"/>
                    <a:ext cx="1952252" cy="10195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7795" w:rsidRDefault="000E7795" w:rsidP="006241BA">
    <w:pPr>
      <w:pStyle w:val="Footer"/>
      <w:jc w:val="center"/>
    </w:pPr>
    <w:r>
      <w:rPr>
        <w:noProof/>
      </w:rPr>
      <w:drawing>
        <wp:inline distT="0" distB="0" distL="0" distR="0" wp14:anchorId="62FA0F60" wp14:editId="2E2CB808">
          <wp:extent cx="6858000" cy="5299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_RYH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29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95" w:rsidRDefault="000E7795" w:rsidP="00894560">
      <w:pPr>
        <w:spacing w:after="0" w:line="240" w:lineRule="auto"/>
      </w:pPr>
      <w:r>
        <w:separator/>
      </w:r>
    </w:p>
  </w:footnote>
  <w:footnote w:type="continuationSeparator" w:id="0">
    <w:p w:rsidR="000E7795" w:rsidRDefault="000E7795" w:rsidP="0089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DCC"/>
    <w:multiLevelType w:val="hybridMultilevel"/>
    <w:tmpl w:val="3EB2A9C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A15912"/>
    <w:multiLevelType w:val="hybridMultilevel"/>
    <w:tmpl w:val="B3987B0A"/>
    <w:lvl w:ilvl="0" w:tplc="CA688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E4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CAE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44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EE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6CA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0C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27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CF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D76EC"/>
    <w:multiLevelType w:val="hybridMultilevel"/>
    <w:tmpl w:val="364094DA"/>
    <w:lvl w:ilvl="0" w:tplc="1AA48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21"/>
    <w:rsid w:val="00037A8C"/>
    <w:rsid w:val="000B6A48"/>
    <w:rsid w:val="000E7795"/>
    <w:rsid w:val="00142876"/>
    <w:rsid w:val="00270CD3"/>
    <w:rsid w:val="002B34E5"/>
    <w:rsid w:val="00532CBF"/>
    <w:rsid w:val="006241BA"/>
    <w:rsid w:val="007D4221"/>
    <w:rsid w:val="00894560"/>
    <w:rsid w:val="009B194D"/>
    <w:rsid w:val="009E2CDE"/>
    <w:rsid w:val="00CA2448"/>
    <w:rsid w:val="00DB0FCA"/>
    <w:rsid w:val="00E43EA9"/>
    <w:rsid w:val="00F1124F"/>
    <w:rsid w:val="00FB3BD6"/>
    <w:rsid w:val="00FD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60"/>
  </w:style>
  <w:style w:type="paragraph" w:styleId="Footer">
    <w:name w:val="footer"/>
    <w:basedOn w:val="Normal"/>
    <w:link w:val="FooterChar"/>
    <w:uiPriority w:val="99"/>
    <w:unhideWhenUsed/>
    <w:rsid w:val="0089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60"/>
  </w:style>
  <w:style w:type="paragraph" w:styleId="BalloonText">
    <w:name w:val="Balloon Text"/>
    <w:basedOn w:val="Normal"/>
    <w:link w:val="BalloonTextChar"/>
    <w:uiPriority w:val="99"/>
    <w:semiHidden/>
    <w:unhideWhenUsed/>
    <w:rsid w:val="0089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60"/>
  </w:style>
  <w:style w:type="paragraph" w:styleId="Footer">
    <w:name w:val="footer"/>
    <w:basedOn w:val="Normal"/>
    <w:link w:val="FooterChar"/>
    <w:uiPriority w:val="99"/>
    <w:unhideWhenUsed/>
    <w:rsid w:val="00894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60"/>
  </w:style>
  <w:style w:type="paragraph" w:styleId="BalloonText">
    <w:name w:val="Balloon Text"/>
    <w:basedOn w:val="Normal"/>
    <w:link w:val="BalloonTextChar"/>
    <w:uiPriority w:val="99"/>
    <w:semiHidden/>
    <w:unhideWhenUsed/>
    <w:rsid w:val="0089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1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63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30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27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34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03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nea.org/common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0CCB-8E26-4646-8A22-CE77C90B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Harris-Aikens, Donna [NEA]</dc:creator>
  <cp:lastModifiedBy>Harris-Aikens, Donna [NEA]</cp:lastModifiedBy>
  <cp:revision>8</cp:revision>
  <cp:lastPrinted>2013-04-02T16:44:00Z</cp:lastPrinted>
  <dcterms:created xsi:type="dcterms:W3CDTF">2013-04-02T13:35:00Z</dcterms:created>
  <dcterms:modified xsi:type="dcterms:W3CDTF">2013-04-03T14:43:00Z</dcterms:modified>
</cp:coreProperties>
</file>