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94" w:rsidRDefault="00F94401" w:rsidP="00F94401">
      <w:pPr>
        <w:jc w:val="center"/>
        <w:rPr>
          <w:rFonts w:ascii="Times New Roman" w:hAnsi="Times New Roman"/>
          <w:sz w:val="24"/>
          <w:szCs w:val="24"/>
        </w:rPr>
      </w:pPr>
      <w:r w:rsidRPr="00F94401">
        <w:rPr>
          <w:rFonts w:ascii="Times New Roman" w:hAnsi="Times New Roman"/>
          <w:sz w:val="24"/>
          <w:szCs w:val="24"/>
        </w:rPr>
        <w:t>INTEGRATING ART AND FORENSIC SCIENCE</w:t>
      </w:r>
    </w:p>
    <w:p w:rsidR="00F94401" w:rsidRDefault="00F94401" w:rsidP="00F944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course titled “the Art of Perception” </w:t>
      </w:r>
      <w:proofErr w:type="gramStart"/>
      <w:r>
        <w:rPr>
          <w:rFonts w:ascii="Times New Roman" w:hAnsi="Times New Roman"/>
          <w:sz w:val="24"/>
          <w:szCs w:val="24"/>
        </w:rPr>
        <w:t>is offered</w:t>
      </w:r>
      <w:proofErr w:type="gramEnd"/>
      <w:r>
        <w:rPr>
          <w:rFonts w:ascii="Times New Roman" w:hAnsi="Times New Roman"/>
          <w:sz w:val="24"/>
          <w:szCs w:val="24"/>
        </w:rPr>
        <w:t xml:space="preserve"> to New York City police officers at the Metropolitan Museum of Art. The course designed by Amy Herman, an art historian</w:t>
      </w:r>
      <w:r w:rsidR="00DE0300">
        <w:rPr>
          <w:rFonts w:ascii="Times New Roman" w:hAnsi="Times New Roman"/>
          <w:sz w:val="24"/>
          <w:szCs w:val="24"/>
        </w:rPr>
        <w:t xml:space="preserve"> and direct of educational development for the New York City public television </w:t>
      </w:r>
      <w:proofErr w:type="gramStart"/>
      <w:r w:rsidR="00DE0300">
        <w:rPr>
          <w:rFonts w:ascii="Times New Roman" w:hAnsi="Times New Roman"/>
          <w:sz w:val="24"/>
          <w:szCs w:val="24"/>
        </w:rPr>
        <w:t>station ,WNET</w:t>
      </w:r>
      <w:proofErr w:type="gramEnd"/>
      <w:r>
        <w:rPr>
          <w:rFonts w:ascii="Times New Roman" w:hAnsi="Times New Roman"/>
          <w:sz w:val="24"/>
          <w:szCs w:val="24"/>
        </w:rPr>
        <w:t>. The ground rules of the course.</w:t>
      </w:r>
    </w:p>
    <w:p w:rsidR="00F94401" w:rsidRDefault="00F94401" w:rsidP="00F944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4401">
        <w:rPr>
          <w:rFonts w:ascii="Times New Roman" w:hAnsi="Times New Roman"/>
          <w:sz w:val="24"/>
          <w:szCs w:val="24"/>
        </w:rPr>
        <w:t>The students cannot say “obviously” or “clearly.” The rationale, what is clear or obvious to you may not be to others.</w:t>
      </w:r>
    </w:p>
    <w:p w:rsidR="00F94401" w:rsidRDefault="00F94401" w:rsidP="00F944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must look with hands behind their backs. The rationale, no pointing requires greater use of descriptions.</w:t>
      </w:r>
    </w:p>
    <w:p w:rsidR="00F94401" w:rsidRDefault="00F94401" w:rsidP="00F944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what you see.</w:t>
      </w:r>
    </w:p>
    <w:p w:rsidR="00F94401" w:rsidRDefault="00F94401" w:rsidP="00F944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no wrong answers.</w:t>
      </w:r>
    </w:p>
    <w:p w:rsidR="00DE0300" w:rsidRDefault="00DE0300" w:rsidP="00F944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pair up to describe what they see and what they think is going on for different paintings or photographs.</w:t>
      </w:r>
      <w:r w:rsidR="00200617">
        <w:rPr>
          <w:rFonts w:ascii="Times New Roman" w:hAnsi="Times New Roman"/>
          <w:sz w:val="24"/>
          <w:szCs w:val="24"/>
        </w:rPr>
        <w:t xml:space="preserve"> Or students sit back to back and one describes the scene for the other.</w:t>
      </w:r>
      <w:r w:rsidR="00876D9F">
        <w:rPr>
          <w:rFonts w:ascii="Times New Roman" w:hAnsi="Times New Roman"/>
          <w:sz w:val="24"/>
          <w:szCs w:val="24"/>
        </w:rPr>
        <w:t xml:space="preserve"> </w:t>
      </w:r>
    </w:p>
    <w:p w:rsidR="00876D9F" w:rsidRDefault="00876D9F" w:rsidP="00F944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students give their observations and conclusions</w:t>
      </w:r>
      <w:r w:rsidR="006F58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/>
          <w:sz w:val="24"/>
          <w:szCs w:val="24"/>
        </w:rPr>
        <w:t>story behind the artwork is revealed by the teacher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E0300" w:rsidRDefault="00DE0300" w:rsidP="00DE0300">
      <w:pPr>
        <w:pStyle w:val="ListParagraph"/>
        <w:rPr>
          <w:rFonts w:ascii="Times New Roman" w:hAnsi="Times New Roman"/>
          <w:sz w:val="24"/>
          <w:szCs w:val="24"/>
        </w:rPr>
      </w:pPr>
    </w:p>
    <w:p w:rsidR="00DE0300" w:rsidRDefault="00DE0300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photos included the shooting at Kent State.</w:t>
      </w:r>
    </w:p>
    <w:p w:rsidR="00200617" w:rsidRDefault="00200617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4165" cy="22904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8A" w:rsidRDefault="00A33D85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hyperlink r:id="rId6" w:history="1">
        <w:r w:rsidR="00200617" w:rsidRPr="00C678EF">
          <w:rPr>
            <w:rStyle w:val="Hyperlink"/>
            <w:rFonts w:ascii="Times New Roman" w:hAnsi="Times New Roman"/>
            <w:sz w:val="24"/>
            <w:szCs w:val="24"/>
          </w:rPr>
          <w:t>http://www.historymania.com/american_history/Kent_State_shootings</w:t>
        </w:r>
      </w:hyperlink>
    </w:p>
    <w:p w:rsidR="00200617" w:rsidRDefault="00200617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76D9F" w:rsidRDefault="00876D9F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76D9F" w:rsidRDefault="00876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0617" w:rsidRDefault="00876D9F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Samson Captured by the Philistines by </w:t>
      </w:r>
      <w:proofErr w:type="spellStart"/>
      <w:r>
        <w:rPr>
          <w:rFonts w:ascii="Times New Roman" w:hAnsi="Times New Roman"/>
          <w:sz w:val="24"/>
          <w:szCs w:val="24"/>
        </w:rPr>
        <w:t>Guercino</w:t>
      </w:r>
      <w:proofErr w:type="spellEnd"/>
    </w:p>
    <w:p w:rsidR="00876D9F" w:rsidRDefault="00876D9F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87695" cy="4404360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9F" w:rsidRDefault="00876D9F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76D9F">
        <w:rPr>
          <w:rFonts w:ascii="Times New Roman" w:hAnsi="Times New Roman"/>
          <w:sz w:val="24"/>
          <w:szCs w:val="24"/>
        </w:rPr>
        <w:t>http://www.artbible.info/art/large/442.html</w:t>
      </w:r>
    </w:p>
    <w:p w:rsidR="00200617" w:rsidRDefault="00200617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1546C" w:rsidRDefault="0031546C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 paintings of interest</w:t>
      </w:r>
    </w:p>
    <w:p w:rsidR="00DE0300" w:rsidRDefault="00876D9F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lady taking tea by Jean-</w:t>
      </w:r>
      <w:proofErr w:type="spellStart"/>
      <w:r>
        <w:rPr>
          <w:rFonts w:ascii="Times New Roman" w:hAnsi="Times New Roman"/>
          <w:sz w:val="24"/>
          <w:szCs w:val="24"/>
        </w:rPr>
        <w:t>Baptiste</w:t>
      </w:r>
      <w:proofErr w:type="spellEnd"/>
      <w:r>
        <w:rPr>
          <w:rFonts w:ascii="Times New Roman" w:hAnsi="Times New Roman"/>
          <w:sz w:val="24"/>
          <w:szCs w:val="24"/>
        </w:rPr>
        <w:t xml:space="preserve">-Simeon </w:t>
      </w:r>
      <w:proofErr w:type="spellStart"/>
      <w:r>
        <w:rPr>
          <w:rFonts w:ascii="Times New Roman" w:hAnsi="Times New Roman"/>
          <w:sz w:val="24"/>
          <w:szCs w:val="24"/>
        </w:rPr>
        <w:t>Chardin</w:t>
      </w:r>
      <w:proofErr w:type="spellEnd"/>
    </w:p>
    <w:p w:rsidR="00876D9F" w:rsidRDefault="00876D9F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Supper at Emmaus by Rembrandt </w:t>
      </w:r>
    </w:p>
    <w:p w:rsidR="00E341A0" w:rsidRDefault="00E341A0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photo of Mt. </w:t>
      </w:r>
      <w:proofErr w:type="spellStart"/>
      <w:r>
        <w:rPr>
          <w:rFonts w:ascii="Times New Roman" w:hAnsi="Times New Roman"/>
          <w:sz w:val="24"/>
          <w:szCs w:val="24"/>
        </w:rPr>
        <w:t>Pelee</w:t>
      </w:r>
      <w:proofErr w:type="spellEnd"/>
      <w:r>
        <w:rPr>
          <w:rFonts w:ascii="Times New Roman" w:hAnsi="Times New Roman"/>
          <w:sz w:val="24"/>
          <w:szCs w:val="24"/>
        </w:rPr>
        <w:t xml:space="preserve"> 1902 </w:t>
      </w:r>
      <w:proofErr w:type="spellStart"/>
      <w:r>
        <w:rPr>
          <w:rFonts w:ascii="Times New Roman" w:hAnsi="Times New Roman"/>
          <w:sz w:val="24"/>
          <w:szCs w:val="24"/>
        </w:rPr>
        <w:t>nuees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ardentes</w:t>
      </w:r>
      <w:proofErr w:type="spellEnd"/>
    </w:p>
    <w:p w:rsidR="001138A8" w:rsidRDefault="001138A8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Opportunity Makes the Thief by Paul Charles </w:t>
      </w:r>
      <w:proofErr w:type="spellStart"/>
      <w:r>
        <w:rPr>
          <w:rFonts w:ascii="Times New Roman" w:hAnsi="Times New Roman"/>
          <w:sz w:val="24"/>
          <w:szCs w:val="24"/>
        </w:rPr>
        <w:t>Chocarne</w:t>
      </w:r>
      <w:proofErr w:type="spellEnd"/>
      <w:r>
        <w:rPr>
          <w:rFonts w:ascii="Times New Roman" w:hAnsi="Times New Roman"/>
          <w:sz w:val="24"/>
          <w:szCs w:val="24"/>
        </w:rPr>
        <w:t>-Moreau</w:t>
      </w:r>
    </w:p>
    <w:p w:rsidR="00EA05A5" w:rsidRDefault="00EA05A5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Canyon of the Yellowstone by Thomas Moran</w:t>
      </w:r>
    </w:p>
    <w:p w:rsidR="00EA05A5" w:rsidRDefault="00EA05A5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Mount Fuji by Katsushika Hokusai ((1760-1849) and A Wave</w:t>
      </w:r>
    </w:p>
    <w:p w:rsidR="00B65E96" w:rsidRDefault="00B65E96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Nocturne by Vincent van Gogh </w:t>
      </w:r>
      <w:r w:rsidR="00F205EF">
        <w:rPr>
          <w:rFonts w:ascii="Times New Roman" w:hAnsi="Times New Roman"/>
          <w:sz w:val="24"/>
          <w:szCs w:val="24"/>
        </w:rPr>
        <w:t xml:space="preserve">From pictures you can see the exact place this </w:t>
      </w:r>
      <w:proofErr w:type="gramStart"/>
      <w:r w:rsidR="00F205EF">
        <w:rPr>
          <w:rFonts w:ascii="Times New Roman" w:hAnsi="Times New Roman"/>
          <w:sz w:val="24"/>
          <w:szCs w:val="24"/>
        </w:rPr>
        <w:t>was taken</w:t>
      </w:r>
      <w:proofErr w:type="gramEnd"/>
      <w:r w:rsidR="00F205EF">
        <w:rPr>
          <w:rFonts w:ascii="Times New Roman" w:hAnsi="Times New Roman"/>
          <w:sz w:val="24"/>
          <w:szCs w:val="24"/>
        </w:rPr>
        <w:t xml:space="preserve"> and the time of year by the position of the moon and stars.</w:t>
      </w:r>
    </w:p>
    <w:p w:rsidR="00F205EF" w:rsidRDefault="00F205EF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 man in Sorrow by van Gogh others the Ravine, Head of a Man, self-portrait </w:t>
      </w:r>
    </w:p>
    <w:p w:rsidR="00F205EF" w:rsidRDefault="00F205EF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t xml:space="preserve">In </w:t>
      </w:r>
      <w:r>
        <w:rPr>
          <w:rStyle w:val="Emphasis"/>
        </w:rPr>
        <w:t>A Pair of Boots</w:t>
      </w:r>
      <w:r w:rsidR="00ED503C">
        <w:t xml:space="preserve"> (1887), van Gogh   the boots, are worn, evidence</w:t>
      </w:r>
      <w:r>
        <w:t xml:space="preserve"> the tong</w:t>
      </w:r>
      <w:r w:rsidR="00ED503C">
        <w:t>ue of the boot is broken</w:t>
      </w:r>
      <w:r>
        <w:t xml:space="preserve"> the laces are twisted and mang</w:t>
      </w:r>
      <w:r w:rsidR="00ED503C">
        <w:t>led.</w:t>
      </w:r>
      <w:r>
        <w:t xml:space="preserve"> The metal cleats </w:t>
      </w:r>
      <w:r w:rsidR="00ED503C">
        <w:t xml:space="preserve">have a pattern. </w:t>
      </w:r>
    </w:p>
    <w:p w:rsidR="0031546C" w:rsidRDefault="0031546C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F77B7" w:rsidRDefault="001F77B7" w:rsidP="00DE030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94401" w:rsidRDefault="001F77B7" w:rsidP="0025668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“Teaching Cops to See” Smithsonia</w:t>
      </w:r>
      <w:r w:rsidR="00ED503C">
        <w:rPr>
          <w:rFonts w:ascii="Times New Roman" w:hAnsi="Times New Roman"/>
          <w:sz w:val="24"/>
          <w:szCs w:val="24"/>
        </w:rPr>
        <w:t>n, October, 2009 pages 48 to 52</w:t>
      </w:r>
    </w:p>
    <w:p w:rsidR="00A10DF0" w:rsidRPr="00F94401" w:rsidRDefault="00A10DF0" w:rsidP="0025668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10DF0">
        <w:rPr>
          <w:rFonts w:ascii="Times New Roman" w:hAnsi="Times New Roman"/>
          <w:sz w:val="24"/>
          <w:szCs w:val="24"/>
        </w:rPr>
        <w:t>http://www.smithsonianmag.com/arts-culture/Teaching-Cops-to-See.html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10DF0" w:rsidRPr="00F94401" w:rsidSect="00BB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16A"/>
    <w:multiLevelType w:val="hybridMultilevel"/>
    <w:tmpl w:val="FCC0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characterSpacingControl w:val="doNotCompress"/>
  <w:compat/>
  <w:rsids>
    <w:rsidRoot w:val="00F94401"/>
    <w:rsid w:val="000F118D"/>
    <w:rsid w:val="001138A8"/>
    <w:rsid w:val="001F77B7"/>
    <w:rsid w:val="00200617"/>
    <w:rsid w:val="00241876"/>
    <w:rsid w:val="00256688"/>
    <w:rsid w:val="0031546C"/>
    <w:rsid w:val="006F5850"/>
    <w:rsid w:val="00876D9F"/>
    <w:rsid w:val="00A10DF0"/>
    <w:rsid w:val="00A33D85"/>
    <w:rsid w:val="00B0378A"/>
    <w:rsid w:val="00B65E96"/>
    <w:rsid w:val="00BB012F"/>
    <w:rsid w:val="00BE0BC7"/>
    <w:rsid w:val="00DE0300"/>
    <w:rsid w:val="00E341A0"/>
    <w:rsid w:val="00EA05A5"/>
    <w:rsid w:val="00ED503C"/>
    <w:rsid w:val="00F205EF"/>
    <w:rsid w:val="00F9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61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05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mania.com/american_history/Kent_State_shootin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Malone</dc:creator>
  <cp:lastModifiedBy>virginia</cp:lastModifiedBy>
  <cp:revision>10</cp:revision>
  <dcterms:created xsi:type="dcterms:W3CDTF">2009-11-06T00:02:00Z</dcterms:created>
  <dcterms:modified xsi:type="dcterms:W3CDTF">2011-08-09T23:31:00Z</dcterms:modified>
</cp:coreProperties>
</file>