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71"/>
        <w:tblW w:w="1091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43" w:type="dxa"/>
          <w:left w:w="115" w:type="dxa"/>
          <w:bottom w:w="43" w:type="dxa"/>
          <w:right w:w="115" w:type="dxa"/>
        </w:tblCellMar>
        <w:tblLook w:val="04A0"/>
      </w:tblPr>
      <w:tblGrid>
        <w:gridCol w:w="2268"/>
        <w:gridCol w:w="2527"/>
        <w:gridCol w:w="6120"/>
      </w:tblGrid>
      <w:tr w:rsidR="006952A1" w:rsidTr="0074594D">
        <w:tc>
          <w:tcPr>
            <w:tcW w:w="2268" w:type="dxa"/>
            <w:vMerge w:val="restart"/>
            <w:shd w:val="clear" w:color="auto" w:fill="0198CD"/>
            <w:vAlign w:val="center"/>
          </w:tcPr>
          <w:p w:rsidR="006952A1" w:rsidRDefault="006952A1" w:rsidP="006952A1">
            <w:pPr>
              <w:jc w:val="center"/>
              <w:rPr>
                <w:b/>
                <w:color w:val="FFFFFF"/>
                <w:sz w:val="56"/>
                <w:szCs w:val="56"/>
              </w:rPr>
            </w:pPr>
            <w:r w:rsidRPr="00CA04B3">
              <w:rPr>
                <w:b/>
                <w:color w:val="FFFFFF"/>
                <w:sz w:val="56"/>
                <w:szCs w:val="56"/>
              </w:rPr>
              <w:t>DESK</w:t>
            </w:r>
          </w:p>
          <w:p w:rsidR="006952A1" w:rsidRPr="00E60F30" w:rsidRDefault="006952A1" w:rsidP="006952A1">
            <w:pPr>
              <w:jc w:val="center"/>
              <w:rPr>
                <w:b/>
                <w:color w:val="FFFFFF"/>
                <w:spacing w:val="120"/>
                <w:sz w:val="28"/>
                <w:szCs w:val="28"/>
              </w:rPr>
            </w:pPr>
            <w:r w:rsidRPr="00E60F30">
              <w:rPr>
                <w:b/>
                <w:color w:val="FFFFFF"/>
                <w:spacing w:val="120"/>
                <w:sz w:val="28"/>
                <w:szCs w:val="28"/>
              </w:rPr>
              <w:t>Lesson</w:t>
            </w:r>
          </w:p>
        </w:tc>
        <w:tc>
          <w:tcPr>
            <w:tcW w:w="2527" w:type="dxa"/>
          </w:tcPr>
          <w:p w:rsidR="006952A1" w:rsidRPr="006A0F7F" w:rsidRDefault="006952A1" w:rsidP="006952A1">
            <w:pPr>
              <w:rPr>
                <w:b/>
                <w:color w:val="0198CD"/>
                <w:szCs w:val="24"/>
              </w:rPr>
            </w:pPr>
            <w:r w:rsidRPr="006A0F7F">
              <w:rPr>
                <w:b/>
                <w:color w:val="0198CD"/>
                <w:szCs w:val="24"/>
              </w:rPr>
              <w:t>Course:</w:t>
            </w:r>
          </w:p>
        </w:tc>
        <w:tc>
          <w:tcPr>
            <w:tcW w:w="6120" w:type="dxa"/>
          </w:tcPr>
          <w:p w:rsidR="006952A1" w:rsidRPr="00ED2F5D" w:rsidRDefault="008003FE" w:rsidP="006952A1">
            <w:pPr>
              <w:ind w:right="65"/>
              <w:rPr>
                <w:szCs w:val="24"/>
              </w:rPr>
            </w:pPr>
            <w:r>
              <w:rPr>
                <w:szCs w:val="24"/>
              </w:rPr>
              <w:t>Language Arts – 6</w:t>
            </w:r>
            <w:r w:rsidRPr="008003FE">
              <w:rPr>
                <w:szCs w:val="24"/>
                <w:vertAlign w:val="superscript"/>
              </w:rPr>
              <w:t>th</w:t>
            </w:r>
            <w:r>
              <w:rPr>
                <w:szCs w:val="24"/>
              </w:rPr>
              <w:t xml:space="preserve"> grade</w:t>
            </w:r>
          </w:p>
        </w:tc>
      </w:tr>
      <w:tr w:rsidR="006952A1" w:rsidTr="0074594D">
        <w:trPr>
          <w:trHeight w:val="209"/>
        </w:trPr>
        <w:tc>
          <w:tcPr>
            <w:tcW w:w="2268" w:type="dxa"/>
            <w:vMerge/>
            <w:shd w:val="clear" w:color="auto" w:fill="0198CD"/>
          </w:tcPr>
          <w:p w:rsidR="006952A1" w:rsidRPr="00B062AB" w:rsidRDefault="006952A1" w:rsidP="006952A1">
            <w:pPr>
              <w:rPr>
                <w:sz w:val="22"/>
              </w:rPr>
            </w:pPr>
          </w:p>
        </w:tc>
        <w:tc>
          <w:tcPr>
            <w:tcW w:w="2527" w:type="dxa"/>
          </w:tcPr>
          <w:p w:rsidR="006952A1" w:rsidRPr="006A0F7F" w:rsidRDefault="006952A1" w:rsidP="006952A1">
            <w:pPr>
              <w:rPr>
                <w:b/>
                <w:color w:val="0198CD"/>
                <w:szCs w:val="24"/>
              </w:rPr>
            </w:pPr>
            <w:r w:rsidRPr="006A0F7F">
              <w:rPr>
                <w:b/>
                <w:color w:val="0198CD"/>
                <w:szCs w:val="24"/>
              </w:rPr>
              <w:t>Davis Essentials:</w:t>
            </w:r>
          </w:p>
        </w:tc>
        <w:tc>
          <w:tcPr>
            <w:tcW w:w="6120" w:type="dxa"/>
          </w:tcPr>
          <w:p w:rsidR="006952A1" w:rsidRPr="008003FE" w:rsidRDefault="008003FE" w:rsidP="006952A1">
            <w:pPr>
              <w:numPr>
                <w:ilvl w:val="0"/>
                <w:numId w:val="2"/>
              </w:numPr>
              <w:ind w:right="65"/>
              <w:rPr>
                <w:i/>
                <w:szCs w:val="24"/>
              </w:rPr>
            </w:pPr>
            <w:r w:rsidRPr="008003FE">
              <w:rPr>
                <w:i/>
              </w:rPr>
              <w:t>Write to communicate effectively in all content areas.</w:t>
            </w:r>
          </w:p>
        </w:tc>
      </w:tr>
      <w:tr w:rsidR="006952A1" w:rsidTr="006952A1">
        <w:trPr>
          <w:trHeight w:val="320"/>
        </w:trPr>
        <w:tc>
          <w:tcPr>
            <w:tcW w:w="2268" w:type="dxa"/>
            <w:vMerge/>
            <w:shd w:val="clear" w:color="auto" w:fill="0198CD"/>
          </w:tcPr>
          <w:p w:rsidR="006952A1" w:rsidRPr="00B062AB" w:rsidRDefault="006952A1" w:rsidP="006952A1">
            <w:pPr>
              <w:rPr>
                <w:sz w:val="22"/>
              </w:rPr>
            </w:pPr>
          </w:p>
        </w:tc>
        <w:tc>
          <w:tcPr>
            <w:tcW w:w="2527" w:type="dxa"/>
          </w:tcPr>
          <w:p w:rsidR="006952A1" w:rsidRPr="006A0F7F" w:rsidRDefault="006952A1" w:rsidP="006952A1">
            <w:pPr>
              <w:rPr>
                <w:b/>
                <w:color w:val="0198CD"/>
                <w:szCs w:val="24"/>
              </w:rPr>
            </w:pPr>
            <w:r w:rsidRPr="006A0F7F">
              <w:rPr>
                <w:b/>
                <w:color w:val="0198CD"/>
                <w:szCs w:val="24"/>
              </w:rPr>
              <w:t>Skills and Knowledge:</w:t>
            </w:r>
          </w:p>
        </w:tc>
        <w:tc>
          <w:tcPr>
            <w:tcW w:w="6120" w:type="dxa"/>
            <w:shd w:val="clear" w:color="auto" w:fill="FFFFFF" w:themeFill="background1"/>
          </w:tcPr>
          <w:p w:rsidR="006952A1" w:rsidRPr="008003FE" w:rsidRDefault="008003FE" w:rsidP="008003FE">
            <w:pPr>
              <w:pStyle w:val="Default"/>
              <w:rPr>
                <w:i/>
              </w:rPr>
            </w:pPr>
            <w:r w:rsidRPr="008003FE">
              <w:rPr>
                <w:i/>
              </w:rPr>
              <w:t>Learn and apply new words using multiple resources.</w:t>
            </w:r>
          </w:p>
        </w:tc>
      </w:tr>
      <w:tr w:rsidR="00BA1E2A" w:rsidTr="00093BCD">
        <w:trPr>
          <w:trHeight w:val="22"/>
        </w:trPr>
        <w:tc>
          <w:tcPr>
            <w:tcW w:w="2268" w:type="dxa"/>
            <w:tcBorders>
              <w:right w:val="single" w:sz="24" w:space="0" w:color="D9D9D9" w:themeColor="background1" w:themeShade="D9"/>
            </w:tcBorders>
            <w:shd w:val="clear" w:color="auto" w:fill="D9D9D9"/>
          </w:tcPr>
          <w:p w:rsidR="00BA1E2A" w:rsidRPr="00994CDD" w:rsidRDefault="00BA1E2A" w:rsidP="00BA1E2A">
            <w:pPr>
              <w:rPr>
                <w:szCs w:val="24"/>
              </w:rPr>
            </w:pPr>
            <w:r w:rsidRPr="00994CDD">
              <w:rPr>
                <w:b/>
                <w:szCs w:val="24"/>
              </w:rPr>
              <w:t>Title</w:t>
            </w:r>
          </w:p>
        </w:tc>
        <w:tc>
          <w:tcPr>
            <w:tcW w:w="8647" w:type="dxa"/>
            <w:gridSpan w:val="2"/>
            <w:tcBorders>
              <w:left w:val="single" w:sz="24" w:space="0" w:color="D9D9D9" w:themeColor="background1" w:themeShade="D9"/>
            </w:tcBorders>
            <w:shd w:val="clear" w:color="auto" w:fill="D9D9D9" w:themeFill="background1" w:themeFillShade="D9"/>
          </w:tcPr>
          <w:p w:rsidR="00BA1E2A" w:rsidRPr="00093BCD" w:rsidRDefault="00ED2F5D" w:rsidP="0007722C">
            <w:pPr>
              <w:ind w:right="65"/>
              <w:jc w:val="center"/>
              <w:rPr>
                <w:b/>
                <w:color w:val="000000" w:themeColor="text1"/>
                <w:szCs w:val="24"/>
              </w:rPr>
            </w:pPr>
            <w:r>
              <w:rPr>
                <w:b/>
                <w:color w:val="000000" w:themeColor="text1"/>
                <w:szCs w:val="24"/>
              </w:rPr>
              <w:t xml:space="preserve">Required BOLD </w:t>
            </w:r>
            <w:r w:rsidR="0018120A">
              <w:rPr>
                <w:b/>
                <w:color w:val="000000" w:themeColor="text1"/>
                <w:szCs w:val="24"/>
              </w:rPr>
              <w:t>ALL CAPS</w:t>
            </w:r>
          </w:p>
        </w:tc>
      </w:tr>
      <w:tr w:rsidR="000A7FFC" w:rsidTr="0074594D">
        <w:tc>
          <w:tcPr>
            <w:tcW w:w="2268" w:type="dxa"/>
            <w:shd w:val="clear" w:color="auto" w:fill="D9D9D9"/>
          </w:tcPr>
          <w:p w:rsidR="000A7FFC" w:rsidRPr="00994CDD" w:rsidRDefault="000A7FFC" w:rsidP="000A7FFC">
            <w:pPr>
              <w:rPr>
                <w:b/>
                <w:szCs w:val="24"/>
              </w:rPr>
            </w:pPr>
            <w:r w:rsidRPr="00994CDD">
              <w:rPr>
                <w:b/>
                <w:szCs w:val="24"/>
              </w:rPr>
              <w:t>Author / Source</w:t>
            </w:r>
          </w:p>
        </w:tc>
        <w:tc>
          <w:tcPr>
            <w:tcW w:w="8647" w:type="dxa"/>
            <w:gridSpan w:val="2"/>
          </w:tcPr>
          <w:p w:rsidR="00D0786D" w:rsidRDefault="00D0786D" w:rsidP="006E1962">
            <w:pPr>
              <w:ind w:right="65"/>
              <w:rPr>
                <w:szCs w:val="24"/>
              </w:rPr>
            </w:pPr>
            <w:r>
              <w:rPr>
                <w:szCs w:val="24"/>
              </w:rPr>
              <w:t>Houghton Mifflin Journeys 6</w:t>
            </w:r>
            <w:r w:rsidRPr="00D0786D">
              <w:rPr>
                <w:szCs w:val="24"/>
                <w:vertAlign w:val="superscript"/>
              </w:rPr>
              <w:t>th</w:t>
            </w:r>
            <w:r>
              <w:rPr>
                <w:szCs w:val="24"/>
              </w:rPr>
              <w:t xml:space="preserve"> Grade, Lesson 8 Vocabulary Stategies</w:t>
            </w:r>
          </w:p>
          <w:p w:rsidR="000A7FFC" w:rsidRPr="006A0F7F" w:rsidRDefault="008003FE" w:rsidP="006E1962">
            <w:pPr>
              <w:ind w:right="65"/>
              <w:rPr>
                <w:szCs w:val="24"/>
              </w:rPr>
            </w:pPr>
            <w:r>
              <w:rPr>
                <w:szCs w:val="24"/>
              </w:rPr>
              <w:t>Eileen Matsumura, Wasatch Elementary</w:t>
            </w:r>
          </w:p>
        </w:tc>
      </w:tr>
      <w:tr w:rsidR="000A7FFC" w:rsidTr="00093BCD">
        <w:tc>
          <w:tcPr>
            <w:tcW w:w="2268" w:type="dxa"/>
            <w:shd w:val="clear" w:color="auto" w:fill="D9D9D9"/>
          </w:tcPr>
          <w:p w:rsidR="000A7FFC" w:rsidRPr="00994CDD" w:rsidRDefault="000A7FFC" w:rsidP="000A7FFC">
            <w:pPr>
              <w:rPr>
                <w:b/>
                <w:szCs w:val="24"/>
              </w:rPr>
            </w:pPr>
            <w:r w:rsidRPr="00994CDD">
              <w:rPr>
                <w:b/>
                <w:szCs w:val="24"/>
              </w:rPr>
              <w:t>Submitted by</w:t>
            </w:r>
          </w:p>
        </w:tc>
        <w:tc>
          <w:tcPr>
            <w:tcW w:w="8647" w:type="dxa"/>
            <w:gridSpan w:val="2"/>
          </w:tcPr>
          <w:p w:rsidR="000A7FFC" w:rsidRPr="006A0F7F" w:rsidRDefault="008003FE" w:rsidP="006E1962">
            <w:pPr>
              <w:ind w:right="65"/>
              <w:rPr>
                <w:szCs w:val="24"/>
              </w:rPr>
            </w:pPr>
            <w:r>
              <w:rPr>
                <w:szCs w:val="24"/>
              </w:rPr>
              <w:t>Eileen Matsumura, Wasatch Elementary</w:t>
            </w:r>
          </w:p>
        </w:tc>
      </w:tr>
      <w:tr w:rsidR="000A7FFC" w:rsidTr="006952A1">
        <w:trPr>
          <w:trHeight w:val="1202"/>
        </w:trPr>
        <w:tc>
          <w:tcPr>
            <w:tcW w:w="2268" w:type="dxa"/>
            <w:shd w:val="clear" w:color="auto" w:fill="D9D9D9"/>
          </w:tcPr>
          <w:p w:rsidR="000A7FFC" w:rsidRPr="00994CDD" w:rsidRDefault="000A7FFC" w:rsidP="000A7FFC">
            <w:pPr>
              <w:rPr>
                <w:b/>
                <w:szCs w:val="24"/>
              </w:rPr>
            </w:pPr>
            <w:r w:rsidRPr="00994CDD">
              <w:rPr>
                <w:b/>
                <w:szCs w:val="24"/>
              </w:rPr>
              <w:t>Objectives</w:t>
            </w:r>
          </w:p>
          <w:p w:rsidR="000A7FFC" w:rsidRPr="00994CDD" w:rsidRDefault="000A7FFC" w:rsidP="000A7FFC">
            <w:pPr>
              <w:rPr>
                <w:i/>
                <w:szCs w:val="24"/>
              </w:rPr>
            </w:pPr>
            <w:r w:rsidRPr="00994CDD">
              <w:rPr>
                <w:i/>
                <w:szCs w:val="24"/>
              </w:rPr>
              <w:t>What will students know and be able to do at the end of this lesson?</w:t>
            </w:r>
          </w:p>
        </w:tc>
        <w:tc>
          <w:tcPr>
            <w:tcW w:w="8647" w:type="dxa"/>
            <w:gridSpan w:val="2"/>
            <w:tcBorders>
              <w:bottom w:val="nil"/>
            </w:tcBorders>
          </w:tcPr>
          <w:p w:rsidR="000A7FFC" w:rsidRDefault="00464C66" w:rsidP="006E1962">
            <w:pPr>
              <w:ind w:right="65"/>
              <w:rPr>
                <w:szCs w:val="24"/>
              </w:rPr>
            </w:pPr>
            <w:r>
              <w:rPr>
                <w:szCs w:val="24"/>
              </w:rPr>
              <w:t>Recognize and use words with Latin roots and affixes.</w:t>
            </w:r>
          </w:p>
          <w:p w:rsidR="00464C66" w:rsidRPr="006A0F7F" w:rsidRDefault="00464C66" w:rsidP="006E1962">
            <w:pPr>
              <w:ind w:right="65"/>
              <w:rPr>
                <w:szCs w:val="24"/>
              </w:rPr>
            </w:pPr>
            <w:r>
              <w:rPr>
                <w:szCs w:val="24"/>
              </w:rPr>
              <w:t>Use Latin roots and affixes to determine word meanings.</w:t>
            </w:r>
          </w:p>
        </w:tc>
      </w:tr>
      <w:tr w:rsidR="000A7FFC" w:rsidTr="006952A1">
        <w:trPr>
          <w:trHeight w:val="22"/>
        </w:trPr>
        <w:tc>
          <w:tcPr>
            <w:tcW w:w="2268" w:type="dxa"/>
            <w:shd w:val="clear" w:color="auto" w:fill="D9D9D9"/>
          </w:tcPr>
          <w:p w:rsidR="000A7FFC" w:rsidRPr="00994CDD" w:rsidRDefault="000A7FFC" w:rsidP="000A7FFC">
            <w:pPr>
              <w:rPr>
                <w:b/>
                <w:szCs w:val="24"/>
              </w:rPr>
            </w:pPr>
            <w:r w:rsidRPr="00994CDD">
              <w:rPr>
                <w:b/>
                <w:szCs w:val="24"/>
              </w:rPr>
              <w:t>Lesson Description</w:t>
            </w:r>
          </w:p>
        </w:tc>
        <w:tc>
          <w:tcPr>
            <w:tcW w:w="8647" w:type="dxa"/>
            <w:gridSpan w:val="2"/>
            <w:tcBorders>
              <w:top w:val="nil"/>
            </w:tcBorders>
          </w:tcPr>
          <w:p w:rsidR="000A7FFC" w:rsidRPr="006A0F7F" w:rsidRDefault="00464C66" w:rsidP="006E1962">
            <w:pPr>
              <w:ind w:right="65"/>
              <w:rPr>
                <w:szCs w:val="24"/>
              </w:rPr>
            </w:pPr>
            <w:r>
              <w:rPr>
                <w:szCs w:val="24"/>
              </w:rPr>
              <w:t>Students will learn the meanings of Latin roots and use them to determine word meanings.</w:t>
            </w:r>
          </w:p>
        </w:tc>
      </w:tr>
      <w:tr w:rsidR="000A7FFC" w:rsidTr="0007722C">
        <w:trPr>
          <w:trHeight w:val="644"/>
        </w:trPr>
        <w:tc>
          <w:tcPr>
            <w:tcW w:w="2268" w:type="dxa"/>
            <w:shd w:val="clear" w:color="auto" w:fill="D9D9D9"/>
          </w:tcPr>
          <w:p w:rsidR="000A7FFC" w:rsidRPr="00994CDD" w:rsidRDefault="000A7FFC" w:rsidP="000A7FFC">
            <w:pPr>
              <w:rPr>
                <w:b/>
                <w:szCs w:val="24"/>
              </w:rPr>
            </w:pPr>
            <w:r w:rsidRPr="00994CDD">
              <w:rPr>
                <w:b/>
                <w:szCs w:val="24"/>
              </w:rPr>
              <w:t>Lesson Materials and Resources</w:t>
            </w:r>
          </w:p>
        </w:tc>
        <w:tc>
          <w:tcPr>
            <w:tcW w:w="8647" w:type="dxa"/>
            <w:gridSpan w:val="2"/>
          </w:tcPr>
          <w:p w:rsidR="000A7FFC" w:rsidRDefault="00464C66" w:rsidP="006E1962">
            <w:pPr>
              <w:ind w:right="65"/>
              <w:rPr>
                <w:szCs w:val="24"/>
              </w:rPr>
            </w:pPr>
            <w:r>
              <w:rPr>
                <w:szCs w:val="24"/>
              </w:rPr>
              <w:t>Journeys 6</w:t>
            </w:r>
            <w:r w:rsidRPr="00464C66">
              <w:rPr>
                <w:szCs w:val="24"/>
                <w:vertAlign w:val="superscript"/>
              </w:rPr>
              <w:t>th</w:t>
            </w:r>
            <w:r>
              <w:rPr>
                <w:szCs w:val="24"/>
              </w:rPr>
              <w:t xml:space="preserve"> grade Teacher’s Edition</w:t>
            </w:r>
          </w:p>
          <w:p w:rsidR="00464C66" w:rsidRDefault="00464C66" w:rsidP="006E1962">
            <w:pPr>
              <w:ind w:right="65"/>
              <w:rPr>
                <w:szCs w:val="24"/>
              </w:rPr>
            </w:pPr>
            <w:r>
              <w:rPr>
                <w:szCs w:val="24"/>
              </w:rPr>
              <w:t>Journeys Projectable 8.3</w:t>
            </w:r>
          </w:p>
          <w:p w:rsidR="00654767" w:rsidRDefault="00654767" w:rsidP="006E1962">
            <w:pPr>
              <w:ind w:right="65"/>
              <w:rPr>
                <w:szCs w:val="24"/>
              </w:rPr>
            </w:pPr>
            <w:r>
              <w:rPr>
                <w:szCs w:val="24"/>
              </w:rPr>
              <w:t>Practice Book page 87</w:t>
            </w:r>
          </w:p>
          <w:p w:rsidR="00464C66" w:rsidRDefault="00464C66" w:rsidP="006E1962">
            <w:pPr>
              <w:ind w:right="65"/>
              <w:rPr>
                <w:szCs w:val="24"/>
              </w:rPr>
            </w:pPr>
            <w:r>
              <w:rPr>
                <w:szCs w:val="24"/>
              </w:rPr>
              <w:t>Computer access for students</w:t>
            </w:r>
          </w:p>
          <w:p w:rsidR="00464C66" w:rsidRPr="006A0F7F" w:rsidRDefault="00D0786D" w:rsidP="006E1962">
            <w:pPr>
              <w:ind w:right="65"/>
              <w:rPr>
                <w:szCs w:val="24"/>
              </w:rPr>
            </w:pPr>
            <w:hyperlink r:id="rId7" w:history="1">
              <w:r w:rsidRPr="00EE7D7F">
                <w:rPr>
                  <w:rStyle w:val="Hyperlink"/>
                  <w:color w:val="0000FF" w:themeColor="hyperlink"/>
                  <w:szCs w:val="24"/>
                </w:rPr>
                <w:t>www.tv411.org</w:t>
              </w:r>
            </w:hyperlink>
            <w:r>
              <w:rPr>
                <w:szCs w:val="24"/>
              </w:rPr>
              <w:t xml:space="preserve"> </w:t>
            </w:r>
          </w:p>
        </w:tc>
      </w:tr>
      <w:tr w:rsidR="000A7FFC" w:rsidTr="0074594D">
        <w:tc>
          <w:tcPr>
            <w:tcW w:w="2268" w:type="dxa"/>
            <w:shd w:val="clear" w:color="auto" w:fill="D9D9D9"/>
          </w:tcPr>
          <w:p w:rsidR="000A7FFC" w:rsidRPr="00994CDD" w:rsidRDefault="000A7FFC" w:rsidP="000A7FFC">
            <w:pPr>
              <w:rPr>
                <w:b/>
                <w:szCs w:val="24"/>
              </w:rPr>
            </w:pPr>
            <w:r w:rsidRPr="00994CDD">
              <w:rPr>
                <w:b/>
                <w:szCs w:val="24"/>
              </w:rPr>
              <w:t>Instructional Activities</w:t>
            </w:r>
          </w:p>
        </w:tc>
        <w:tc>
          <w:tcPr>
            <w:tcW w:w="8647" w:type="dxa"/>
            <w:gridSpan w:val="2"/>
          </w:tcPr>
          <w:p w:rsidR="00C97E92" w:rsidRPr="00C97E92" w:rsidRDefault="00C97E92" w:rsidP="00C97E92">
            <w:pPr>
              <w:ind w:right="65"/>
              <w:rPr>
                <w:b/>
                <w:szCs w:val="24"/>
              </w:rPr>
            </w:pPr>
            <w:r w:rsidRPr="00C97E92">
              <w:rPr>
                <w:b/>
                <w:szCs w:val="24"/>
              </w:rPr>
              <w:t>Teach/Model</w:t>
            </w:r>
          </w:p>
          <w:p w:rsidR="00464C66" w:rsidRDefault="00464C66" w:rsidP="00464C66">
            <w:pPr>
              <w:numPr>
                <w:ilvl w:val="0"/>
                <w:numId w:val="3"/>
              </w:numPr>
              <w:ind w:right="65"/>
              <w:rPr>
                <w:szCs w:val="24"/>
              </w:rPr>
            </w:pPr>
            <w:r>
              <w:rPr>
                <w:szCs w:val="24"/>
              </w:rPr>
              <w:t>Explain that a root word is a word part that has meaning but cannot always stand alone.  Affixes are added to root words.</w:t>
            </w:r>
          </w:p>
          <w:p w:rsidR="00464C66" w:rsidRDefault="00464C66" w:rsidP="00464C66">
            <w:pPr>
              <w:numPr>
                <w:ilvl w:val="0"/>
                <w:numId w:val="3"/>
              </w:numPr>
              <w:ind w:right="65"/>
              <w:rPr>
                <w:szCs w:val="24"/>
              </w:rPr>
            </w:pPr>
            <w:r>
              <w:rPr>
                <w:szCs w:val="24"/>
              </w:rPr>
              <w:t>Discuss with students the prefix/root word, its meaning, the word made from it, and the sample sentence for each of the roots and affixes listed on T188 in the Journeys Teacher Edition.</w:t>
            </w:r>
          </w:p>
          <w:p w:rsidR="00464C66" w:rsidRPr="00464C66" w:rsidRDefault="00464C66" w:rsidP="00464C66">
            <w:pPr>
              <w:numPr>
                <w:ilvl w:val="0"/>
                <w:numId w:val="3"/>
              </w:numPr>
              <w:ind w:right="65"/>
              <w:rPr>
                <w:szCs w:val="24"/>
              </w:rPr>
            </w:pPr>
            <w:r>
              <w:rPr>
                <w:szCs w:val="24"/>
              </w:rPr>
              <w:t xml:space="preserve">Model analyzing word parts and context to find the meaning of </w:t>
            </w:r>
            <w:r>
              <w:rPr>
                <w:i/>
                <w:szCs w:val="24"/>
              </w:rPr>
              <w:t>ambidextrous.</w:t>
            </w:r>
          </w:p>
          <w:p w:rsidR="00464C66" w:rsidRPr="00C97E92" w:rsidRDefault="00464C66" w:rsidP="00464C66">
            <w:pPr>
              <w:numPr>
                <w:ilvl w:val="2"/>
                <w:numId w:val="3"/>
              </w:numPr>
              <w:ind w:right="65"/>
              <w:rPr>
                <w:szCs w:val="24"/>
              </w:rPr>
            </w:pPr>
            <w:r>
              <w:rPr>
                <w:i/>
                <w:szCs w:val="24"/>
              </w:rPr>
              <w:t xml:space="preserve">Think aloud – The word ambidextrous contains the prefix </w:t>
            </w:r>
            <w:r w:rsidRPr="00464C66">
              <w:rPr>
                <w:szCs w:val="24"/>
              </w:rPr>
              <w:t>ambi-</w:t>
            </w:r>
            <w:r w:rsidR="00C97E92">
              <w:rPr>
                <w:szCs w:val="24"/>
              </w:rPr>
              <w:t xml:space="preserve"> </w:t>
            </w:r>
            <w:r w:rsidR="00C97E92">
              <w:rPr>
                <w:i/>
                <w:szCs w:val="24"/>
              </w:rPr>
              <w:t xml:space="preserve">meaning “both.”  I see from the context that dexterous probably has to do with being able to do things with your hands.  I think that </w:t>
            </w:r>
            <w:r w:rsidR="00C97E92" w:rsidRPr="00C97E92">
              <w:rPr>
                <w:szCs w:val="24"/>
              </w:rPr>
              <w:t>ambidextrous</w:t>
            </w:r>
            <w:r w:rsidR="00C97E92">
              <w:rPr>
                <w:szCs w:val="24"/>
              </w:rPr>
              <w:t xml:space="preserve"> </w:t>
            </w:r>
            <w:r w:rsidR="00C97E92">
              <w:rPr>
                <w:i/>
                <w:szCs w:val="24"/>
              </w:rPr>
              <w:t>means being able to do something with both hands.  I can look in a dictionary to check my prediction.</w:t>
            </w:r>
          </w:p>
          <w:p w:rsidR="00C97E92" w:rsidRDefault="00C97E92" w:rsidP="00C97E92">
            <w:pPr>
              <w:ind w:right="65"/>
              <w:rPr>
                <w:b/>
                <w:szCs w:val="24"/>
              </w:rPr>
            </w:pPr>
            <w:r>
              <w:rPr>
                <w:b/>
                <w:szCs w:val="24"/>
              </w:rPr>
              <w:t>Guided Practice</w:t>
            </w:r>
          </w:p>
          <w:p w:rsidR="00C97E92" w:rsidRDefault="00C97E92" w:rsidP="00C97E92">
            <w:pPr>
              <w:numPr>
                <w:ilvl w:val="0"/>
                <w:numId w:val="4"/>
              </w:numPr>
              <w:ind w:right="65"/>
              <w:rPr>
                <w:szCs w:val="24"/>
              </w:rPr>
            </w:pPr>
            <w:r>
              <w:rPr>
                <w:szCs w:val="24"/>
              </w:rPr>
              <w:t xml:space="preserve">Display the top half of Projectable 8.5 and read “Underneath New York City” </w:t>
            </w:r>
            <w:r w:rsidRPr="00C97E92">
              <w:rPr>
                <w:szCs w:val="24"/>
              </w:rPr>
              <w:t>aloud.</w:t>
            </w:r>
          </w:p>
          <w:p w:rsidR="00C97E92" w:rsidRDefault="00C97E92" w:rsidP="00C97E92">
            <w:pPr>
              <w:numPr>
                <w:ilvl w:val="0"/>
                <w:numId w:val="4"/>
              </w:numPr>
              <w:ind w:right="65"/>
              <w:rPr>
                <w:szCs w:val="24"/>
              </w:rPr>
            </w:pPr>
            <w:r>
              <w:rPr>
                <w:szCs w:val="24"/>
              </w:rPr>
              <w:t>Display the Column Map on the bottom half of Projectable 8.5.</w:t>
            </w:r>
          </w:p>
          <w:p w:rsidR="00C97E92" w:rsidRDefault="00C97E92" w:rsidP="00C97E92">
            <w:pPr>
              <w:numPr>
                <w:ilvl w:val="0"/>
                <w:numId w:val="4"/>
              </w:numPr>
              <w:ind w:right="65"/>
              <w:rPr>
                <w:szCs w:val="24"/>
              </w:rPr>
            </w:pPr>
            <w:r>
              <w:rPr>
                <w:szCs w:val="24"/>
              </w:rPr>
              <w:t>Have students identify the vocabulary list for the passage.  Circle or highlight where these words appear in the selection (If using an Interactive Whiteboard, students could do this using a Mobi or similar device.)</w:t>
            </w:r>
          </w:p>
          <w:p w:rsidR="009A65A6" w:rsidRDefault="00C97E92" w:rsidP="009A65A6">
            <w:pPr>
              <w:numPr>
                <w:ilvl w:val="0"/>
                <w:numId w:val="4"/>
              </w:numPr>
              <w:ind w:right="65"/>
              <w:rPr>
                <w:szCs w:val="24"/>
              </w:rPr>
            </w:pPr>
            <w:r>
              <w:rPr>
                <w:szCs w:val="24"/>
              </w:rPr>
              <w:t xml:space="preserve">Write the first word, </w:t>
            </w:r>
            <w:r>
              <w:rPr>
                <w:i/>
                <w:szCs w:val="24"/>
              </w:rPr>
              <w:t>aqueduct</w:t>
            </w:r>
            <w:r>
              <w:rPr>
                <w:szCs w:val="24"/>
              </w:rPr>
              <w:t xml:space="preserve"> in column 1 of the Column Map.  Identify the prefix </w:t>
            </w:r>
            <w:r>
              <w:rPr>
                <w:i/>
                <w:szCs w:val="24"/>
              </w:rPr>
              <w:t>aque-</w:t>
            </w:r>
            <w:r>
              <w:rPr>
                <w:szCs w:val="24"/>
              </w:rPr>
              <w:t xml:space="preserve"> and the root word </w:t>
            </w:r>
            <w:r>
              <w:rPr>
                <w:i/>
                <w:szCs w:val="24"/>
              </w:rPr>
              <w:t>duct</w:t>
            </w:r>
            <w:r>
              <w:rPr>
                <w:szCs w:val="24"/>
              </w:rPr>
              <w:t xml:space="preserve"> and write them in column 2 of the Column Map.  Discuss and write the meaning of </w:t>
            </w:r>
            <w:r w:rsidRPr="00C97E92">
              <w:rPr>
                <w:i/>
                <w:szCs w:val="24"/>
              </w:rPr>
              <w:t>aqueduct</w:t>
            </w:r>
            <w:r>
              <w:rPr>
                <w:szCs w:val="24"/>
              </w:rPr>
              <w:t xml:space="preserve"> in column 3</w:t>
            </w:r>
            <w:r w:rsidR="009A65A6">
              <w:rPr>
                <w:szCs w:val="24"/>
              </w:rPr>
              <w:t>.</w:t>
            </w:r>
          </w:p>
          <w:p w:rsidR="009A65A6" w:rsidRDefault="009A65A6" w:rsidP="009A65A6">
            <w:pPr>
              <w:ind w:right="65"/>
              <w:rPr>
                <w:b/>
                <w:szCs w:val="24"/>
              </w:rPr>
            </w:pPr>
            <w:r>
              <w:rPr>
                <w:b/>
                <w:szCs w:val="24"/>
              </w:rPr>
              <w:t>Apply</w:t>
            </w:r>
          </w:p>
          <w:p w:rsidR="009A65A6" w:rsidRDefault="009A65A6" w:rsidP="009A65A6">
            <w:pPr>
              <w:numPr>
                <w:ilvl w:val="0"/>
                <w:numId w:val="5"/>
              </w:numPr>
              <w:ind w:right="65"/>
              <w:rPr>
                <w:szCs w:val="24"/>
              </w:rPr>
            </w:pPr>
            <w:r>
              <w:rPr>
                <w:szCs w:val="24"/>
              </w:rPr>
              <w:t xml:space="preserve">Have students use knowledge of root words, affixes, and/or context to predict the meaning of </w:t>
            </w:r>
            <w:r>
              <w:rPr>
                <w:i/>
                <w:szCs w:val="24"/>
              </w:rPr>
              <w:t>motivated</w:t>
            </w:r>
            <w:r>
              <w:rPr>
                <w:szCs w:val="24"/>
              </w:rPr>
              <w:t xml:space="preserve">.  Have students continue, using this process to </w:t>
            </w:r>
            <w:r>
              <w:rPr>
                <w:szCs w:val="24"/>
              </w:rPr>
              <w:lastRenderedPageBreak/>
              <w:t>predict the meanings of all words in column 1.  Explain that sometimes letters that look like a prefix do not actually have the same meaning as the prefix they spell.</w:t>
            </w:r>
          </w:p>
          <w:p w:rsidR="009A65A6" w:rsidRPr="009A65A6" w:rsidRDefault="009A65A6" w:rsidP="009A65A6">
            <w:pPr>
              <w:numPr>
                <w:ilvl w:val="0"/>
                <w:numId w:val="5"/>
              </w:numPr>
              <w:ind w:right="65"/>
              <w:rPr>
                <w:szCs w:val="24"/>
              </w:rPr>
            </w:pPr>
            <w:r>
              <w:rPr>
                <w:szCs w:val="24"/>
              </w:rPr>
              <w:t xml:space="preserve">Have students look in a dictionary to check their predictions and learn the meanings of words that are still unfamiliar.  (Note that the meanings of ambitious and regular in the passage do not relate directly to the meaning of the prefix </w:t>
            </w:r>
            <w:r>
              <w:rPr>
                <w:i/>
                <w:szCs w:val="24"/>
              </w:rPr>
              <w:t>ambi-</w:t>
            </w:r>
            <w:r>
              <w:rPr>
                <w:szCs w:val="24"/>
              </w:rPr>
              <w:t xml:space="preserve"> and the word root </w:t>
            </w:r>
            <w:r>
              <w:rPr>
                <w:i/>
                <w:szCs w:val="24"/>
              </w:rPr>
              <w:t>reg</w:t>
            </w:r>
            <w:r>
              <w:rPr>
                <w:szCs w:val="24"/>
              </w:rPr>
              <w:t>, so students will need to use prior knowledge and a dictionary to find their meanings.)</w:t>
            </w:r>
          </w:p>
          <w:p w:rsidR="000A7FFC" w:rsidRPr="00C97E92" w:rsidRDefault="00464C66" w:rsidP="00C97E92">
            <w:pPr>
              <w:ind w:left="720" w:right="65"/>
              <w:rPr>
                <w:szCs w:val="24"/>
              </w:rPr>
            </w:pPr>
            <w:r w:rsidRPr="00C97E92">
              <w:rPr>
                <w:szCs w:val="24"/>
              </w:rPr>
              <w:tab/>
              <w:t xml:space="preserve"> </w:t>
            </w:r>
          </w:p>
        </w:tc>
      </w:tr>
      <w:tr w:rsidR="000A7FFC" w:rsidTr="0074594D">
        <w:tc>
          <w:tcPr>
            <w:tcW w:w="2268" w:type="dxa"/>
            <w:shd w:val="clear" w:color="auto" w:fill="D9D9D9"/>
          </w:tcPr>
          <w:p w:rsidR="000A7FFC" w:rsidRPr="00994CDD" w:rsidRDefault="000A7FFC" w:rsidP="000A7FFC">
            <w:pPr>
              <w:rPr>
                <w:b/>
                <w:szCs w:val="24"/>
              </w:rPr>
            </w:pPr>
            <w:r w:rsidRPr="00994CDD">
              <w:rPr>
                <w:b/>
                <w:szCs w:val="24"/>
              </w:rPr>
              <w:lastRenderedPageBreak/>
              <w:t>Formative Assessment</w:t>
            </w:r>
          </w:p>
          <w:p w:rsidR="000A7FFC" w:rsidRPr="00994CDD" w:rsidRDefault="000A7FFC" w:rsidP="000A7FFC">
            <w:pPr>
              <w:rPr>
                <w:i/>
                <w:szCs w:val="24"/>
              </w:rPr>
            </w:pPr>
            <w:r w:rsidRPr="00994CDD">
              <w:rPr>
                <w:i/>
                <w:szCs w:val="24"/>
              </w:rPr>
              <w:t>How will I check for understanding?</w:t>
            </w:r>
          </w:p>
          <w:p w:rsidR="000A7FFC" w:rsidRPr="00994CDD" w:rsidRDefault="000A7FFC" w:rsidP="000A7FFC">
            <w:pPr>
              <w:rPr>
                <w:szCs w:val="24"/>
              </w:rPr>
            </w:pPr>
            <w:r w:rsidRPr="00994CDD">
              <w:rPr>
                <w:i/>
                <w:szCs w:val="24"/>
              </w:rPr>
              <w:t>How will students show what they know?</w:t>
            </w:r>
          </w:p>
        </w:tc>
        <w:tc>
          <w:tcPr>
            <w:tcW w:w="8647" w:type="dxa"/>
            <w:gridSpan w:val="2"/>
          </w:tcPr>
          <w:p w:rsidR="000A7FFC" w:rsidRPr="006A0F7F" w:rsidRDefault="009A65A6" w:rsidP="006E1962">
            <w:pPr>
              <w:ind w:right="65"/>
              <w:rPr>
                <w:szCs w:val="24"/>
              </w:rPr>
            </w:pPr>
            <w:r>
              <w:rPr>
                <w:szCs w:val="24"/>
              </w:rPr>
              <w:t>Practice Book page 87</w:t>
            </w:r>
          </w:p>
        </w:tc>
      </w:tr>
      <w:tr w:rsidR="000A7FFC" w:rsidTr="0074594D">
        <w:tc>
          <w:tcPr>
            <w:tcW w:w="2268" w:type="dxa"/>
            <w:shd w:val="clear" w:color="auto" w:fill="D9D9D9"/>
          </w:tcPr>
          <w:p w:rsidR="000A7FFC" w:rsidRPr="00994CDD" w:rsidRDefault="000A7FFC" w:rsidP="000A7FFC">
            <w:pPr>
              <w:rPr>
                <w:szCs w:val="24"/>
              </w:rPr>
            </w:pPr>
            <w:r w:rsidRPr="00994CDD">
              <w:rPr>
                <w:b/>
                <w:szCs w:val="24"/>
              </w:rPr>
              <w:t>Extending the Lesson</w:t>
            </w:r>
            <w:r w:rsidRPr="00994CDD">
              <w:rPr>
                <w:szCs w:val="24"/>
              </w:rPr>
              <w:t xml:space="preserve"> </w:t>
            </w:r>
          </w:p>
          <w:p w:rsidR="000A7FFC" w:rsidRPr="00994CDD" w:rsidRDefault="000A7FFC" w:rsidP="000A7FFC">
            <w:pPr>
              <w:rPr>
                <w:i/>
                <w:szCs w:val="24"/>
              </w:rPr>
            </w:pPr>
            <w:r w:rsidRPr="00994CDD">
              <w:rPr>
                <w:i/>
                <w:szCs w:val="24"/>
              </w:rPr>
              <w:t>What are ways to reteach the objectives?</w:t>
            </w:r>
          </w:p>
          <w:p w:rsidR="000A7FFC" w:rsidRPr="00994CDD" w:rsidRDefault="000A7FFC" w:rsidP="000A7FFC">
            <w:pPr>
              <w:rPr>
                <w:szCs w:val="24"/>
              </w:rPr>
            </w:pPr>
            <w:r w:rsidRPr="00994CDD">
              <w:rPr>
                <w:i/>
                <w:szCs w:val="24"/>
              </w:rPr>
              <w:t>What are ways to enrich the lesson?</w:t>
            </w:r>
          </w:p>
        </w:tc>
        <w:tc>
          <w:tcPr>
            <w:tcW w:w="8647" w:type="dxa"/>
            <w:gridSpan w:val="2"/>
          </w:tcPr>
          <w:p w:rsidR="000A7FFC" w:rsidRPr="006A0F7F" w:rsidRDefault="00D0786D" w:rsidP="00D0786D">
            <w:pPr>
              <w:ind w:right="65"/>
              <w:rPr>
                <w:szCs w:val="24"/>
              </w:rPr>
            </w:pPr>
            <w:r>
              <w:rPr>
                <w:szCs w:val="24"/>
              </w:rPr>
              <w:t xml:space="preserve">Direct students to </w:t>
            </w:r>
            <w:hyperlink r:id="rId8" w:history="1">
              <w:r w:rsidRPr="00EE7D7F">
                <w:rPr>
                  <w:rStyle w:val="Hyperlink"/>
                  <w:color w:val="0000FF" w:themeColor="hyperlink"/>
                  <w:szCs w:val="24"/>
                </w:rPr>
                <w:t>www.TV411.org/vocabulary</w:t>
              </w:r>
            </w:hyperlink>
            <w:r>
              <w:rPr>
                <w:szCs w:val="24"/>
              </w:rPr>
              <w:t xml:space="preserve"> for additional practice with root words.  Once on the website, choose Roots and Their Families, Part 1 and then go on to Part 2.</w:t>
            </w:r>
          </w:p>
        </w:tc>
      </w:tr>
    </w:tbl>
    <w:p w:rsidR="003E75BE" w:rsidRPr="00DA7B20" w:rsidRDefault="003E75BE" w:rsidP="00DA7B20">
      <w:pPr>
        <w:spacing w:before="25"/>
        <w:rPr>
          <w:sz w:val="2"/>
          <w:szCs w:val="2"/>
        </w:rPr>
      </w:pPr>
    </w:p>
    <w:p w:rsidR="0070563E" w:rsidRDefault="0070563E"/>
    <w:p w:rsidR="0090438C" w:rsidRDefault="0090438C"/>
    <w:sectPr w:rsidR="0090438C" w:rsidSect="006952A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D7F" w:rsidRDefault="00EE7D7F" w:rsidP="007F3BB7">
      <w:r>
        <w:separator/>
      </w:r>
    </w:p>
  </w:endnote>
  <w:endnote w:type="continuationSeparator" w:id="0">
    <w:p w:rsidR="00EE7D7F" w:rsidRDefault="00EE7D7F" w:rsidP="007F3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92" w:rsidRDefault="00F24F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30" w:rsidRPr="00F058C8" w:rsidRDefault="00E60F30" w:rsidP="007F3BB7">
    <w:pPr>
      <w:pStyle w:val="Footer"/>
      <w:tabs>
        <w:tab w:val="clear" w:pos="4680"/>
        <w:tab w:val="clear" w:pos="9360"/>
        <w:tab w:val="center" w:pos="5400"/>
        <w:tab w:val="right" w:pos="10800"/>
      </w:tabs>
      <w:rPr>
        <w:color w:val="0198CD"/>
        <w:sz w:val="16"/>
        <w:szCs w:val="16"/>
      </w:rPr>
    </w:pPr>
    <w:r>
      <w:tab/>
    </w:r>
    <w:r w:rsidRPr="00F058C8">
      <w:rPr>
        <w:color w:val="0198CD"/>
        <w:sz w:val="16"/>
        <w:szCs w:val="16"/>
      </w:rPr>
      <w:t xml:space="preserve">© </w:t>
    </w:r>
    <w:r w:rsidRPr="00F058C8">
      <w:rPr>
        <w:color w:val="0198CD"/>
        <w:sz w:val="16"/>
        <w:szCs w:val="16"/>
      </w:rPr>
      <w:fldChar w:fldCharType="begin"/>
    </w:r>
    <w:r w:rsidRPr="00F058C8">
      <w:rPr>
        <w:color w:val="0198CD"/>
        <w:sz w:val="16"/>
        <w:szCs w:val="16"/>
      </w:rPr>
      <w:instrText xml:space="preserve"> DATE \@ "M/d/yyyy" </w:instrText>
    </w:r>
    <w:r w:rsidRPr="00F058C8">
      <w:rPr>
        <w:color w:val="0198CD"/>
        <w:sz w:val="16"/>
        <w:szCs w:val="16"/>
      </w:rPr>
      <w:fldChar w:fldCharType="separate"/>
    </w:r>
    <w:r w:rsidR="008003FE">
      <w:rPr>
        <w:noProof/>
        <w:color w:val="0198CD"/>
        <w:sz w:val="16"/>
        <w:szCs w:val="16"/>
      </w:rPr>
      <w:t>1/9/2011</w:t>
    </w:r>
    <w:r w:rsidRPr="00F058C8">
      <w:rPr>
        <w:color w:val="0198CD"/>
        <w:sz w:val="16"/>
        <w:szCs w:val="16"/>
      </w:rPr>
      <w:fldChar w:fldCharType="end"/>
    </w:r>
    <w:r w:rsidRPr="00F058C8">
      <w:rPr>
        <w:color w:val="0198CD"/>
        <w:sz w:val="16"/>
        <w:szCs w:val="16"/>
      </w:rPr>
      <w:t xml:space="preserve"> </w:t>
    </w:r>
    <w:smartTag w:uri="urn:schemas-microsoft-com:office:smarttags" w:element="PlaceName">
      <w:r w:rsidRPr="00F058C8">
        <w:rPr>
          <w:color w:val="0198CD"/>
          <w:sz w:val="16"/>
          <w:szCs w:val="16"/>
        </w:rPr>
        <w:t>Davis</w:t>
      </w:r>
    </w:smartTag>
    <w:r w:rsidRPr="00F058C8">
      <w:rPr>
        <w:color w:val="0198CD"/>
        <w:sz w:val="16"/>
        <w:szCs w:val="16"/>
      </w:rPr>
      <w:t xml:space="preserve"> </w:t>
    </w:r>
    <w:smartTag w:uri="urn:schemas-microsoft-com:office:smarttags" w:element="PlaceType">
      <w:r w:rsidRPr="00F058C8">
        <w:rPr>
          <w:color w:val="0198CD"/>
          <w:sz w:val="16"/>
          <w:szCs w:val="16"/>
        </w:rPr>
        <w:t>School District</w:t>
      </w:r>
    </w:smartTag>
    <w:r w:rsidRPr="00F058C8">
      <w:rPr>
        <w:color w:val="0198CD"/>
        <w:sz w:val="16"/>
        <w:szCs w:val="16"/>
      </w:rPr>
      <w:t xml:space="preserve">, </w:t>
    </w:r>
    <w:smartTag w:uri="urn:schemas-microsoft-com:office:smarttags" w:element="place">
      <w:smartTag w:uri="urn:schemas-microsoft-com:office:smarttags" w:element="City">
        <w:r w:rsidRPr="00F058C8">
          <w:rPr>
            <w:color w:val="0198CD"/>
            <w:sz w:val="16"/>
            <w:szCs w:val="16"/>
          </w:rPr>
          <w:t>Farmington</w:t>
        </w:r>
      </w:smartTag>
      <w:r w:rsidRPr="00F058C8">
        <w:rPr>
          <w:color w:val="0198CD"/>
          <w:sz w:val="16"/>
          <w:szCs w:val="16"/>
        </w:rPr>
        <w:t xml:space="preserve">, </w:t>
      </w:r>
      <w:smartTag w:uri="urn:schemas-microsoft-com:office:smarttags" w:element="PostalCode">
        <w:r w:rsidRPr="00F058C8">
          <w:rPr>
            <w:color w:val="0198CD"/>
            <w:sz w:val="16"/>
            <w:szCs w:val="16"/>
          </w:rPr>
          <w:t>UT</w:t>
        </w:r>
      </w:smartTag>
      <w:r w:rsidRPr="00F058C8">
        <w:rPr>
          <w:color w:val="0198CD"/>
          <w:sz w:val="16"/>
          <w:szCs w:val="16"/>
        </w:rPr>
        <w:t xml:space="preserve">  </w:t>
      </w:r>
      <w:smartTag w:uri="urn:schemas-microsoft-com:office:smarttags" w:element="PostalCode">
        <w:r w:rsidRPr="00F058C8">
          <w:rPr>
            <w:color w:val="0198CD"/>
            <w:sz w:val="16"/>
            <w:szCs w:val="16"/>
          </w:rPr>
          <w:t>84025</w:t>
        </w:r>
      </w:smartTag>
    </w:smartTag>
  </w:p>
  <w:p w:rsidR="00E60F30" w:rsidRPr="00F058C8" w:rsidRDefault="00E60F30" w:rsidP="007F3BB7">
    <w:pPr>
      <w:tabs>
        <w:tab w:val="center" w:pos="5400"/>
        <w:tab w:val="right" w:pos="10800"/>
      </w:tabs>
      <w:rPr>
        <w:color w:val="0198CD"/>
        <w:sz w:val="16"/>
        <w:szCs w:val="16"/>
      </w:rPr>
    </w:pPr>
    <w:r w:rsidRPr="00F058C8">
      <w:rPr>
        <w:color w:val="0198CD"/>
        <w:sz w:val="16"/>
        <w:szCs w:val="16"/>
      </w:rPr>
      <w:tab/>
      <w:t>All Rights Reserved</w:t>
    </w:r>
    <w:r w:rsidRPr="00F058C8">
      <w:rPr>
        <w:color w:val="0198CD"/>
        <w:sz w:val="16"/>
        <w:szCs w:val="16"/>
      </w:rPr>
      <w:tab/>
    </w:r>
    <w:r w:rsidRPr="00F058C8">
      <w:rPr>
        <w:sz w:val="16"/>
        <w:szCs w:val="16"/>
      </w:rPr>
      <w:t xml:space="preserve">Page </w:t>
    </w:r>
    <w:r w:rsidRPr="00F058C8">
      <w:rPr>
        <w:sz w:val="16"/>
        <w:szCs w:val="16"/>
      </w:rPr>
      <w:fldChar w:fldCharType="begin"/>
    </w:r>
    <w:r w:rsidRPr="00F058C8">
      <w:rPr>
        <w:sz w:val="16"/>
        <w:szCs w:val="16"/>
      </w:rPr>
      <w:instrText xml:space="preserve"> PAGE </w:instrText>
    </w:r>
    <w:r w:rsidRPr="00F058C8">
      <w:rPr>
        <w:sz w:val="16"/>
        <w:szCs w:val="16"/>
      </w:rPr>
      <w:fldChar w:fldCharType="separate"/>
    </w:r>
    <w:r w:rsidR="00EE7D7F">
      <w:rPr>
        <w:noProof/>
        <w:sz w:val="16"/>
        <w:szCs w:val="16"/>
      </w:rPr>
      <w:t>1</w:t>
    </w:r>
    <w:r w:rsidRPr="00F058C8">
      <w:rPr>
        <w:sz w:val="16"/>
        <w:szCs w:val="16"/>
      </w:rPr>
      <w:fldChar w:fldCharType="end"/>
    </w:r>
    <w:r w:rsidRPr="00F058C8">
      <w:rPr>
        <w:sz w:val="16"/>
        <w:szCs w:val="16"/>
      </w:rPr>
      <w:t xml:space="preserve"> of </w:t>
    </w:r>
    <w:r w:rsidRPr="00F058C8">
      <w:rPr>
        <w:sz w:val="16"/>
        <w:szCs w:val="16"/>
      </w:rPr>
      <w:fldChar w:fldCharType="begin"/>
    </w:r>
    <w:r w:rsidRPr="00F058C8">
      <w:rPr>
        <w:sz w:val="16"/>
        <w:szCs w:val="16"/>
      </w:rPr>
      <w:instrText xml:space="preserve"> NUMPAGES  </w:instrText>
    </w:r>
    <w:r w:rsidRPr="00F058C8">
      <w:rPr>
        <w:sz w:val="16"/>
        <w:szCs w:val="16"/>
      </w:rPr>
      <w:fldChar w:fldCharType="separate"/>
    </w:r>
    <w:r w:rsidR="00EE7D7F">
      <w:rPr>
        <w:noProof/>
        <w:sz w:val="16"/>
        <w:szCs w:val="16"/>
      </w:rPr>
      <w:t>1</w:t>
    </w:r>
    <w:r w:rsidRPr="00F058C8">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92" w:rsidRDefault="00F24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D7F" w:rsidRDefault="00EE7D7F" w:rsidP="007F3BB7">
      <w:r>
        <w:separator/>
      </w:r>
    </w:p>
  </w:footnote>
  <w:footnote w:type="continuationSeparator" w:id="0">
    <w:p w:rsidR="00EE7D7F" w:rsidRDefault="00EE7D7F" w:rsidP="007F3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92" w:rsidRDefault="00F24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30" w:rsidRDefault="00E60F30" w:rsidP="00CF6BF5">
    <w:pPr>
      <w:pStyle w:val="Header"/>
      <w:spacing w:line="8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92" w:rsidRDefault="00F24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B55"/>
    <w:multiLevelType w:val="hybridMultilevel"/>
    <w:tmpl w:val="363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423FB"/>
    <w:multiLevelType w:val="multilevel"/>
    <w:tmpl w:val="C880550E"/>
    <w:lvl w:ilvl="0">
      <w:start w:val="1"/>
      <w:numFmt w:val="none"/>
      <w:lvlText w:val="%1"/>
      <w:lvlJc w:val="left"/>
      <w:pPr>
        <w:ind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right"/>
      <w:pPr>
        <w:ind w:left="1440"/>
      </w:pPr>
      <w:rPr>
        <w:rFonts w:cs="Times New Roman" w:hint="default"/>
      </w:rPr>
    </w:lvl>
    <w:lvl w:ilvl="3">
      <w:start w:val="1"/>
      <w:numFmt w:val="decimal"/>
      <w:lvlText w:val="%4."/>
      <w:lvlJc w:val="left"/>
      <w:pPr>
        <w:ind w:left="2160"/>
      </w:pPr>
      <w:rPr>
        <w:rFonts w:cs="Times New Roman" w:hint="default"/>
      </w:rPr>
    </w:lvl>
    <w:lvl w:ilvl="4">
      <w:start w:val="1"/>
      <w:numFmt w:val="lowerLetter"/>
      <w:lvlText w:val="%5."/>
      <w:lvlJc w:val="left"/>
      <w:pPr>
        <w:ind w:left="2880"/>
      </w:pPr>
      <w:rPr>
        <w:rFonts w:cs="Times New Roman" w:hint="default"/>
      </w:rPr>
    </w:lvl>
    <w:lvl w:ilvl="5">
      <w:start w:val="1"/>
      <w:numFmt w:val="lowerRoman"/>
      <w:lvlText w:val="%6."/>
      <w:lvlJc w:val="right"/>
      <w:pPr>
        <w:ind w:left="3600"/>
      </w:pPr>
      <w:rPr>
        <w:rFonts w:cs="Times New Roman" w:hint="default"/>
      </w:rPr>
    </w:lvl>
    <w:lvl w:ilvl="6">
      <w:start w:val="1"/>
      <w:numFmt w:val="decimal"/>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right"/>
      <w:pPr>
        <w:ind w:left="5760"/>
      </w:pPr>
      <w:rPr>
        <w:rFonts w:cs="Times New Roman" w:hint="default"/>
      </w:rPr>
    </w:lvl>
  </w:abstractNum>
  <w:abstractNum w:abstractNumId="2">
    <w:nsid w:val="44676161"/>
    <w:multiLevelType w:val="hybridMultilevel"/>
    <w:tmpl w:val="F574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161C6"/>
    <w:multiLevelType w:val="multilevel"/>
    <w:tmpl w:val="364A08A8"/>
    <w:styleLink w:val="Style1"/>
    <w:lvl w:ilvl="0">
      <w:start w:val="1"/>
      <w:numFmt w:val="upperRoman"/>
      <w:lvlText w:val="%1."/>
      <w:lvlJc w:val="left"/>
      <w:pPr>
        <w:ind w:left="720" w:hanging="360"/>
      </w:pPr>
      <w:rPr>
        <w:rFonts w:cs="Times New Roman"/>
      </w:rPr>
    </w:lvl>
    <w:lvl w:ilvl="1">
      <w:start w:val="1"/>
      <w:numFmt w:val="upperLetter"/>
      <w:lvlText w:val="%2."/>
      <w:lvlJc w:val="left"/>
      <w:pPr>
        <w:ind w:left="1440" w:hanging="360"/>
      </w:pPr>
      <w:rPr>
        <w:rFonts w:cs="Times New Roman"/>
      </w:rPr>
    </w:lvl>
    <w:lvl w:ilvl="2">
      <w:start w:val="1"/>
      <w:numFmt w:val="decimal"/>
      <w:lvlText w:val="%3."/>
      <w:lvlJc w:val="righ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Roman"/>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DA46FB2"/>
    <w:multiLevelType w:val="hybridMultilevel"/>
    <w:tmpl w:val="98C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4ED1"/>
    <w:rsid w:val="00003146"/>
    <w:rsid w:val="00014CE5"/>
    <w:rsid w:val="0007722C"/>
    <w:rsid w:val="00091332"/>
    <w:rsid w:val="00093BCD"/>
    <w:rsid w:val="000977DC"/>
    <w:rsid w:val="000A7FFC"/>
    <w:rsid w:val="000B373C"/>
    <w:rsid w:val="00164FA0"/>
    <w:rsid w:val="0018120A"/>
    <w:rsid w:val="00184ED1"/>
    <w:rsid w:val="001B569A"/>
    <w:rsid w:val="001D2470"/>
    <w:rsid w:val="001E481C"/>
    <w:rsid w:val="002477D3"/>
    <w:rsid w:val="002478D0"/>
    <w:rsid w:val="00267D4C"/>
    <w:rsid w:val="00276D43"/>
    <w:rsid w:val="002A6756"/>
    <w:rsid w:val="002C1EFB"/>
    <w:rsid w:val="002C4494"/>
    <w:rsid w:val="00397E2D"/>
    <w:rsid w:val="003A3356"/>
    <w:rsid w:val="003E75BE"/>
    <w:rsid w:val="00464C66"/>
    <w:rsid w:val="004D4228"/>
    <w:rsid w:val="004D7B6A"/>
    <w:rsid w:val="004E60A2"/>
    <w:rsid w:val="004F16B5"/>
    <w:rsid w:val="00502FD3"/>
    <w:rsid w:val="00516F51"/>
    <w:rsid w:val="00575BE0"/>
    <w:rsid w:val="005A1DD1"/>
    <w:rsid w:val="005A2000"/>
    <w:rsid w:val="005C31AA"/>
    <w:rsid w:val="00630014"/>
    <w:rsid w:val="00654767"/>
    <w:rsid w:val="006660CC"/>
    <w:rsid w:val="0067009D"/>
    <w:rsid w:val="0069152A"/>
    <w:rsid w:val="006952A1"/>
    <w:rsid w:val="006A0F7F"/>
    <w:rsid w:val="006B2B83"/>
    <w:rsid w:val="006D7884"/>
    <w:rsid w:val="006E1962"/>
    <w:rsid w:val="006F4307"/>
    <w:rsid w:val="0070563E"/>
    <w:rsid w:val="007151AF"/>
    <w:rsid w:val="00732664"/>
    <w:rsid w:val="0074594D"/>
    <w:rsid w:val="0075323C"/>
    <w:rsid w:val="00763109"/>
    <w:rsid w:val="007F3BB7"/>
    <w:rsid w:val="008003FE"/>
    <w:rsid w:val="00806D62"/>
    <w:rsid w:val="00841448"/>
    <w:rsid w:val="0086660A"/>
    <w:rsid w:val="00876137"/>
    <w:rsid w:val="0090438C"/>
    <w:rsid w:val="00921923"/>
    <w:rsid w:val="00940259"/>
    <w:rsid w:val="00941573"/>
    <w:rsid w:val="009670FE"/>
    <w:rsid w:val="00990D1C"/>
    <w:rsid w:val="00994CDD"/>
    <w:rsid w:val="009A65A6"/>
    <w:rsid w:val="009C7FD9"/>
    <w:rsid w:val="009D6577"/>
    <w:rsid w:val="009F0294"/>
    <w:rsid w:val="00A32EDA"/>
    <w:rsid w:val="00A44885"/>
    <w:rsid w:val="00AA5CDD"/>
    <w:rsid w:val="00AD4111"/>
    <w:rsid w:val="00B062AB"/>
    <w:rsid w:val="00B134C1"/>
    <w:rsid w:val="00B2651D"/>
    <w:rsid w:val="00B43014"/>
    <w:rsid w:val="00B459CE"/>
    <w:rsid w:val="00BA1E2A"/>
    <w:rsid w:val="00BD0EDF"/>
    <w:rsid w:val="00BD67E2"/>
    <w:rsid w:val="00BE28E4"/>
    <w:rsid w:val="00C41074"/>
    <w:rsid w:val="00C57AEB"/>
    <w:rsid w:val="00C97E92"/>
    <w:rsid w:val="00CA04B3"/>
    <w:rsid w:val="00CF6BF5"/>
    <w:rsid w:val="00D0786D"/>
    <w:rsid w:val="00D12701"/>
    <w:rsid w:val="00D75A90"/>
    <w:rsid w:val="00DA7B20"/>
    <w:rsid w:val="00DF180F"/>
    <w:rsid w:val="00E30A2D"/>
    <w:rsid w:val="00E60F30"/>
    <w:rsid w:val="00ED2F5D"/>
    <w:rsid w:val="00EE5DC9"/>
    <w:rsid w:val="00EE7D7F"/>
    <w:rsid w:val="00F058C8"/>
    <w:rsid w:val="00F11008"/>
    <w:rsid w:val="00F24F92"/>
    <w:rsid w:val="00F453A8"/>
    <w:rsid w:val="00F56395"/>
    <w:rsid w:val="00FB3027"/>
    <w:rsid w:val="00FD49B3"/>
    <w:rsid w:val="00FF539F"/>
    <w:rsid w:val="00FF59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9A"/>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BB7"/>
    <w:pPr>
      <w:tabs>
        <w:tab w:val="center" w:pos="4680"/>
        <w:tab w:val="right" w:pos="9360"/>
      </w:tabs>
    </w:pPr>
  </w:style>
  <w:style w:type="character" w:customStyle="1" w:styleId="HeaderChar">
    <w:name w:val="Header Char"/>
    <w:basedOn w:val="DefaultParagraphFont"/>
    <w:link w:val="Header"/>
    <w:uiPriority w:val="99"/>
    <w:locked/>
    <w:rsid w:val="007F3BB7"/>
    <w:rPr>
      <w:rFonts w:ascii="Times New Roman" w:hAnsi="Times New Roman" w:cs="Times New Roman"/>
      <w:sz w:val="24"/>
    </w:rPr>
  </w:style>
  <w:style w:type="paragraph" w:styleId="Footer">
    <w:name w:val="footer"/>
    <w:basedOn w:val="Normal"/>
    <w:link w:val="FooterChar"/>
    <w:uiPriority w:val="99"/>
    <w:semiHidden/>
    <w:unhideWhenUsed/>
    <w:rsid w:val="007F3BB7"/>
    <w:pPr>
      <w:tabs>
        <w:tab w:val="center" w:pos="4680"/>
        <w:tab w:val="right" w:pos="9360"/>
      </w:tabs>
    </w:pPr>
  </w:style>
  <w:style w:type="character" w:customStyle="1" w:styleId="FooterChar">
    <w:name w:val="Footer Char"/>
    <w:basedOn w:val="DefaultParagraphFont"/>
    <w:link w:val="Footer"/>
    <w:uiPriority w:val="99"/>
    <w:semiHidden/>
    <w:locked/>
    <w:rsid w:val="007F3BB7"/>
    <w:rPr>
      <w:rFonts w:ascii="Times New Roman" w:hAnsi="Times New Roman" w:cs="Times New Roman"/>
      <w:sz w:val="24"/>
    </w:rPr>
  </w:style>
  <w:style w:type="paragraph" w:styleId="BalloonText">
    <w:name w:val="Balloon Text"/>
    <w:basedOn w:val="Normal"/>
    <w:link w:val="BalloonTextChar"/>
    <w:uiPriority w:val="99"/>
    <w:semiHidden/>
    <w:unhideWhenUsed/>
    <w:rsid w:val="007F3B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BB7"/>
    <w:rPr>
      <w:rFonts w:ascii="Tahoma" w:hAnsi="Tahoma" w:cs="Tahoma"/>
      <w:sz w:val="16"/>
      <w:szCs w:val="16"/>
    </w:rPr>
  </w:style>
  <w:style w:type="table" w:styleId="TableGrid">
    <w:name w:val="Table Grid"/>
    <w:basedOn w:val="TableNormal"/>
    <w:uiPriority w:val="59"/>
    <w:rsid w:val="007F3BB7"/>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pPr>
      <w:numPr>
        <w:numId w:val="1"/>
      </w:numPr>
    </w:pPr>
  </w:style>
  <w:style w:type="paragraph" w:customStyle="1" w:styleId="Default">
    <w:name w:val="Default"/>
    <w:rsid w:val="008003F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078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V411.org/vocabulary%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v411.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HALL</dc:creator>
  <cp:lastModifiedBy>Eileen Matsumura</cp:lastModifiedBy>
  <cp:revision>4</cp:revision>
  <cp:lastPrinted>2009-01-13T01:11:00Z</cp:lastPrinted>
  <dcterms:created xsi:type="dcterms:W3CDTF">2011-01-10T00:45:00Z</dcterms:created>
  <dcterms:modified xsi:type="dcterms:W3CDTF">2011-01-10T00:52:00Z</dcterms:modified>
</cp:coreProperties>
</file>