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09" w:rsidRDefault="00DA3CCB" w:rsidP="00BB5C09">
      <w:pPr>
        <w:pBdr>
          <w:bottom w:val="single" w:sz="12" w:space="1" w:color="auto"/>
        </w:pBdr>
      </w:pPr>
      <w:proofErr w:type="gramStart"/>
      <w:r>
        <w:t>M.5.A.2.1.1</w:t>
      </w:r>
      <w:r w:rsidR="001D47A3">
        <w:t xml:space="preserve"> </w:t>
      </w:r>
      <w:r>
        <w:t>Solve problems involving addition, subtractions, multiplication, and division of whole numbers.</w:t>
      </w:r>
      <w:proofErr w:type="gramEnd"/>
    </w:p>
    <w:tbl>
      <w:tblPr>
        <w:tblStyle w:val="MediumShading1-Accent3"/>
        <w:tblW w:w="0" w:type="auto"/>
        <w:tblLook w:val="0420"/>
      </w:tblPr>
      <w:tblGrid>
        <w:gridCol w:w="2178"/>
        <w:gridCol w:w="1440"/>
        <w:gridCol w:w="2250"/>
        <w:gridCol w:w="3708"/>
      </w:tblGrid>
      <w:tr w:rsidR="00960ACD" w:rsidTr="00B13F90">
        <w:trPr>
          <w:cnfStyle w:val="100000000000"/>
        </w:trPr>
        <w:tc>
          <w:tcPr>
            <w:tcW w:w="2178" w:type="dxa"/>
          </w:tcPr>
          <w:p w:rsidR="00960ACD" w:rsidRDefault="00960ACD">
            <w:r>
              <w:t>COMPONENT</w:t>
            </w:r>
          </w:p>
        </w:tc>
        <w:tc>
          <w:tcPr>
            <w:tcW w:w="1440" w:type="dxa"/>
          </w:tcPr>
          <w:p w:rsidR="00960ACD" w:rsidRDefault="00960ACD">
            <w:r>
              <w:t>TIME</w:t>
            </w:r>
          </w:p>
        </w:tc>
        <w:tc>
          <w:tcPr>
            <w:tcW w:w="2250" w:type="dxa"/>
          </w:tcPr>
          <w:p w:rsidR="00960ACD" w:rsidRDefault="00960ACD">
            <w:r>
              <w:t>MATERIALS</w:t>
            </w:r>
          </w:p>
        </w:tc>
        <w:tc>
          <w:tcPr>
            <w:tcW w:w="3708" w:type="dxa"/>
          </w:tcPr>
          <w:p w:rsidR="00960ACD" w:rsidRDefault="00960ACD">
            <w:r>
              <w:t>DESCRIPTION</w:t>
            </w:r>
          </w:p>
        </w:tc>
      </w:tr>
      <w:tr w:rsidR="00987C50" w:rsidTr="00B13F90">
        <w:trPr>
          <w:cnfStyle w:val="000000100000"/>
        </w:trPr>
        <w:tc>
          <w:tcPr>
            <w:tcW w:w="2178" w:type="dxa"/>
          </w:tcPr>
          <w:p w:rsidR="00960ACD" w:rsidRDefault="00960ACD">
            <w:r>
              <w:t>Review 4 You</w:t>
            </w:r>
          </w:p>
        </w:tc>
        <w:tc>
          <w:tcPr>
            <w:tcW w:w="1440" w:type="dxa"/>
          </w:tcPr>
          <w:p w:rsidR="00960ACD" w:rsidRDefault="00960ACD">
            <w:r>
              <w:t>3 min</w:t>
            </w:r>
            <w:r w:rsidR="002D546B">
              <w:t>.</w:t>
            </w:r>
          </w:p>
        </w:tc>
        <w:tc>
          <w:tcPr>
            <w:tcW w:w="2250" w:type="dxa"/>
          </w:tcPr>
          <w:p w:rsidR="00960ACD" w:rsidRDefault="002D546B">
            <w:r>
              <w:t>Student</w:t>
            </w:r>
            <w:r w:rsidR="00960ACD">
              <w:t xml:space="preserve"> Packet</w:t>
            </w:r>
          </w:p>
          <w:p w:rsidR="001150B2" w:rsidRDefault="001150B2"/>
          <w:p w:rsidR="001150B2" w:rsidRDefault="001150B2"/>
        </w:tc>
        <w:tc>
          <w:tcPr>
            <w:tcW w:w="3708" w:type="dxa"/>
          </w:tcPr>
          <w:p w:rsidR="00FD7106" w:rsidRDefault="00FD7106" w:rsidP="00FD7106">
            <w:pPr>
              <w:rPr>
                <w:b/>
                <w:sz w:val="16"/>
                <w:szCs w:val="16"/>
              </w:rPr>
            </w:pPr>
            <w:r>
              <w:rPr>
                <w:b/>
                <w:sz w:val="16"/>
                <w:szCs w:val="16"/>
              </w:rPr>
              <w:t>Solve each division problem.</w:t>
            </w:r>
          </w:p>
          <w:p w:rsidR="00FD7106" w:rsidRDefault="00D76F85" w:rsidP="00FD7106">
            <w:pPr>
              <w:pStyle w:val="ListParagraph"/>
              <w:numPr>
                <w:ilvl w:val="0"/>
                <w:numId w:val="5"/>
              </w:numPr>
              <w:spacing w:line="360" w:lineRule="auto"/>
              <w:rPr>
                <w:b/>
                <w:sz w:val="16"/>
                <w:szCs w:val="16"/>
              </w:rPr>
            </w:pPr>
            <w:r>
              <w:rPr>
                <w:b/>
                <w:sz w:val="16"/>
                <w:szCs w:val="16"/>
              </w:rPr>
              <w:t>32 ÷ 8</w:t>
            </w:r>
          </w:p>
          <w:p w:rsidR="00FD7106" w:rsidRDefault="00D76F85" w:rsidP="00FD7106">
            <w:pPr>
              <w:pStyle w:val="ListParagraph"/>
              <w:numPr>
                <w:ilvl w:val="0"/>
                <w:numId w:val="5"/>
              </w:numPr>
              <w:spacing w:line="360" w:lineRule="auto"/>
              <w:rPr>
                <w:b/>
                <w:sz w:val="16"/>
                <w:szCs w:val="16"/>
              </w:rPr>
            </w:pPr>
            <w:r>
              <w:rPr>
                <w:b/>
                <w:sz w:val="16"/>
                <w:szCs w:val="16"/>
              </w:rPr>
              <w:t>460 ÷ 20</w:t>
            </w:r>
          </w:p>
          <w:p w:rsidR="00FD7106" w:rsidRDefault="00D76F85" w:rsidP="00FD7106">
            <w:pPr>
              <w:pStyle w:val="ListParagraph"/>
              <w:numPr>
                <w:ilvl w:val="0"/>
                <w:numId w:val="5"/>
              </w:numPr>
              <w:spacing w:line="360" w:lineRule="auto"/>
              <w:rPr>
                <w:b/>
                <w:sz w:val="16"/>
                <w:szCs w:val="16"/>
              </w:rPr>
            </w:pPr>
            <w:r>
              <w:rPr>
                <w:b/>
                <w:sz w:val="16"/>
                <w:szCs w:val="16"/>
              </w:rPr>
              <w:t>153 ÷ 3</w:t>
            </w:r>
          </w:p>
          <w:p w:rsidR="008926A9" w:rsidRPr="008926A9" w:rsidRDefault="00D76F85" w:rsidP="00FD7106">
            <w:pPr>
              <w:pStyle w:val="ListParagraph"/>
              <w:numPr>
                <w:ilvl w:val="0"/>
                <w:numId w:val="5"/>
              </w:numPr>
              <w:spacing w:line="360" w:lineRule="auto"/>
              <w:rPr>
                <w:b/>
                <w:sz w:val="16"/>
                <w:szCs w:val="16"/>
              </w:rPr>
            </w:pPr>
            <w:r>
              <w:rPr>
                <w:b/>
                <w:sz w:val="16"/>
                <w:szCs w:val="16"/>
              </w:rPr>
              <w:t>214</w:t>
            </w:r>
            <w:r w:rsidR="00FD7106">
              <w:rPr>
                <w:b/>
                <w:sz w:val="16"/>
                <w:szCs w:val="16"/>
              </w:rPr>
              <w:t xml:space="preserve"> ÷ 10</w:t>
            </w:r>
            <w:r>
              <w:rPr>
                <w:b/>
                <w:sz w:val="16"/>
                <w:szCs w:val="16"/>
              </w:rPr>
              <w:t>7</w:t>
            </w:r>
          </w:p>
        </w:tc>
      </w:tr>
      <w:tr w:rsidR="00960ACD" w:rsidTr="00B13F90">
        <w:trPr>
          <w:cnfStyle w:val="000000010000"/>
        </w:trPr>
        <w:tc>
          <w:tcPr>
            <w:tcW w:w="2178" w:type="dxa"/>
          </w:tcPr>
          <w:p w:rsidR="00960ACD" w:rsidRDefault="00960ACD">
            <w:r>
              <w:t>Today’s Task</w:t>
            </w:r>
          </w:p>
        </w:tc>
        <w:tc>
          <w:tcPr>
            <w:tcW w:w="1440" w:type="dxa"/>
          </w:tcPr>
          <w:p w:rsidR="00960ACD" w:rsidRDefault="00960ACD">
            <w:r>
              <w:t>2 min</w:t>
            </w:r>
            <w:r w:rsidR="002D546B">
              <w:t>.</w:t>
            </w:r>
          </w:p>
        </w:tc>
        <w:tc>
          <w:tcPr>
            <w:tcW w:w="2250" w:type="dxa"/>
          </w:tcPr>
          <w:p w:rsidR="00960ACD" w:rsidRDefault="002D546B">
            <w:r>
              <w:t xml:space="preserve">Student </w:t>
            </w:r>
            <w:r w:rsidR="00960ACD">
              <w:t>Packet</w:t>
            </w:r>
          </w:p>
        </w:tc>
        <w:tc>
          <w:tcPr>
            <w:tcW w:w="3708" w:type="dxa"/>
          </w:tcPr>
          <w:p w:rsidR="001D47A3" w:rsidRPr="002C20BF" w:rsidRDefault="000002E6">
            <w:r>
              <w:t>Your aunt gave you a big bag of candy for your birthday. Your mom makes you share it equally with your brothers and sisters. Tell what you will have to do to figure out how many pieces of candy each of you get.</w:t>
            </w:r>
          </w:p>
        </w:tc>
      </w:tr>
      <w:tr w:rsidR="00987C50" w:rsidTr="00B13F90">
        <w:trPr>
          <w:cnfStyle w:val="000000100000"/>
        </w:trPr>
        <w:tc>
          <w:tcPr>
            <w:tcW w:w="2178" w:type="dxa"/>
          </w:tcPr>
          <w:p w:rsidR="00960ACD" w:rsidRDefault="00960ACD"/>
        </w:tc>
        <w:tc>
          <w:tcPr>
            <w:tcW w:w="1440" w:type="dxa"/>
          </w:tcPr>
          <w:p w:rsidR="00960ACD" w:rsidRDefault="00960ACD">
            <w:r>
              <w:t>10 min</w:t>
            </w:r>
            <w:r w:rsidR="002D546B">
              <w:t>.</w:t>
            </w:r>
          </w:p>
        </w:tc>
        <w:tc>
          <w:tcPr>
            <w:tcW w:w="2250" w:type="dxa"/>
          </w:tcPr>
          <w:p w:rsidR="005D7BED" w:rsidRDefault="00A97A08">
            <w:r>
              <w:t>Lesson File</w:t>
            </w:r>
          </w:p>
          <w:p w:rsidR="005D7BED" w:rsidRDefault="005D7BED">
            <w:r>
              <w:t>Laptop/Projector</w:t>
            </w:r>
          </w:p>
        </w:tc>
        <w:tc>
          <w:tcPr>
            <w:tcW w:w="3708" w:type="dxa"/>
          </w:tcPr>
          <w:p w:rsidR="00960ACD" w:rsidRDefault="00960ACD">
            <w:r>
              <w:t>Whole group instruction of concepts and sample problems.</w:t>
            </w:r>
          </w:p>
        </w:tc>
      </w:tr>
      <w:tr w:rsidR="00960ACD" w:rsidTr="00B13F90">
        <w:trPr>
          <w:cnfStyle w:val="000000010000"/>
        </w:trPr>
        <w:tc>
          <w:tcPr>
            <w:tcW w:w="2178" w:type="dxa"/>
          </w:tcPr>
          <w:p w:rsidR="00960ACD" w:rsidRDefault="00960ACD">
            <w:r>
              <w:t>Hands-On Center</w:t>
            </w:r>
          </w:p>
        </w:tc>
        <w:tc>
          <w:tcPr>
            <w:tcW w:w="1440" w:type="dxa"/>
          </w:tcPr>
          <w:p w:rsidR="00960ACD" w:rsidRDefault="00960ACD">
            <w:r>
              <w:t>20 min</w:t>
            </w:r>
            <w:r w:rsidR="002D546B">
              <w:t>.</w:t>
            </w:r>
          </w:p>
        </w:tc>
        <w:tc>
          <w:tcPr>
            <w:tcW w:w="2250" w:type="dxa"/>
          </w:tcPr>
          <w:p w:rsidR="00960ACD" w:rsidRDefault="002D546B">
            <w:r>
              <w:t xml:space="preserve">Student </w:t>
            </w:r>
            <w:r w:rsidR="00705C4F">
              <w:t>Packet</w:t>
            </w:r>
          </w:p>
          <w:p w:rsidR="00705C4F" w:rsidRDefault="00D76F85">
            <w:r>
              <w:t>Division Templates</w:t>
            </w:r>
          </w:p>
        </w:tc>
        <w:tc>
          <w:tcPr>
            <w:tcW w:w="3708" w:type="dxa"/>
          </w:tcPr>
          <w:p w:rsidR="00960ACD" w:rsidRDefault="00D76F85" w:rsidP="00705C4F">
            <w:r>
              <w:t xml:space="preserve">Division of </w:t>
            </w:r>
            <w:r w:rsidR="000002E6">
              <w:t>using manipulatives.</w:t>
            </w:r>
          </w:p>
        </w:tc>
      </w:tr>
      <w:tr w:rsidR="00987C50" w:rsidTr="00B13F90">
        <w:trPr>
          <w:cnfStyle w:val="000000100000"/>
        </w:trPr>
        <w:tc>
          <w:tcPr>
            <w:tcW w:w="2178" w:type="dxa"/>
          </w:tcPr>
          <w:p w:rsidR="00960ACD" w:rsidRDefault="00960ACD">
            <w:r>
              <w:t>Open-Ended Center</w:t>
            </w:r>
          </w:p>
        </w:tc>
        <w:tc>
          <w:tcPr>
            <w:tcW w:w="1440" w:type="dxa"/>
          </w:tcPr>
          <w:p w:rsidR="00960ACD" w:rsidRDefault="00960ACD">
            <w:r>
              <w:t>20 min</w:t>
            </w:r>
            <w:r w:rsidR="002D546B">
              <w:t>.</w:t>
            </w:r>
          </w:p>
        </w:tc>
        <w:tc>
          <w:tcPr>
            <w:tcW w:w="2250" w:type="dxa"/>
          </w:tcPr>
          <w:p w:rsidR="00960ACD" w:rsidRDefault="002D546B">
            <w:r>
              <w:t xml:space="preserve">Student </w:t>
            </w:r>
            <w:r w:rsidR="00960ACD">
              <w:t>Packet</w:t>
            </w:r>
          </w:p>
          <w:p w:rsidR="00960ACD" w:rsidRDefault="002D546B">
            <w:r>
              <w:t>Writing</w:t>
            </w:r>
            <w:r w:rsidR="00960ACD">
              <w:t xml:space="preserve"> Organizer</w:t>
            </w:r>
          </w:p>
        </w:tc>
        <w:tc>
          <w:tcPr>
            <w:tcW w:w="3708" w:type="dxa"/>
          </w:tcPr>
          <w:p w:rsidR="00960ACD" w:rsidRDefault="00960ACD">
            <w:r>
              <w:t xml:space="preserve">Students complete open-ended response </w:t>
            </w:r>
            <w:r w:rsidR="002D546B">
              <w:t>for word problem</w:t>
            </w:r>
            <w:r w:rsidR="005D7BED">
              <w:t xml:space="preserve"> in student packet</w:t>
            </w:r>
            <w:r w:rsidR="002D546B">
              <w:t>.</w:t>
            </w:r>
          </w:p>
        </w:tc>
      </w:tr>
      <w:tr w:rsidR="00960ACD" w:rsidTr="00B13F90">
        <w:trPr>
          <w:cnfStyle w:val="000000010000"/>
        </w:trPr>
        <w:tc>
          <w:tcPr>
            <w:tcW w:w="2178" w:type="dxa"/>
          </w:tcPr>
          <w:p w:rsidR="00960ACD" w:rsidRDefault="00960ACD">
            <w:r>
              <w:t>Practice Center</w:t>
            </w:r>
          </w:p>
        </w:tc>
        <w:tc>
          <w:tcPr>
            <w:tcW w:w="1440" w:type="dxa"/>
          </w:tcPr>
          <w:p w:rsidR="00960ACD" w:rsidRDefault="00960ACD">
            <w:r>
              <w:t>20 min</w:t>
            </w:r>
            <w:r w:rsidR="002D546B">
              <w:t>.</w:t>
            </w:r>
          </w:p>
        </w:tc>
        <w:tc>
          <w:tcPr>
            <w:tcW w:w="2250" w:type="dxa"/>
          </w:tcPr>
          <w:p w:rsidR="00960ACD" w:rsidRDefault="002D546B" w:rsidP="002D546B">
            <w:pPr>
              <w:ind w:left="720" w:hanging="720"/>
            </w:pPr>
            <w:r>
              <w:t>Student Packet</w:t>
            </w:r>
          </w:p>
        </w:tc>
        <w:tc>
          <w:tcPr>
            <w:tcW w:w="3708" w:type="dxa"/>
          </w:tcPr>
          <w:p w:rsidR="00960ACD" w:rsidRDefault="002D546B">
            <w:r>
              <w:t>Students complete tiered practice worksheet</w:t>
            </w:r>
            <w:r w:rsidR="005D7BED">
              <w:t xml:space="preserve"> in student packet</w:t>
            </w:r>
            <w:r>
              <w:t>.</w:t>
            </w:r>
          </w:p>
        </w:tc>
      </w:tr>
      <w:tr w:rsidR="00987C50" w:rsidTr="00B13F90">
        <w:trPr>
          <w:cnfStyle w:val="000000100000"/>
        </w:trPr>
        <w:tc>
          <w:tcPr>
            <w:tcW w:w="2178" w:type="dxa"/>
          </w:tcPr>
          <w:p w:rsidR="00960ACD" w:rsidRDefault="00960ACD">
            <w:r>
              <w:t>Wrap-Up</w:t>
            </w:r>
          </w:p>
        </w:tc>
        <w:tc>
          <w:tcPr>
            <w:tcW w:w="1440" w:type="dxa"/>
          </w:tcPr>
          <w:p w:rsidR="00960ACD" w:rsidRPr="00960ACD" w:rsidRDefault="00960ACD">
            <w:pPr>
              <w:rPr>
                <w:u w:val="single"/>
              </w:rPr>
            </w:pPr>
            <w:r>
              <w:t>15 min</w:t>
            </w:r>
            <w:r w:rsidR="002D546B">
              <w:t>.</w:t>
            </w:r>
          </w:p>
        </w:tc>
        <w:tc>
          <w:tcPr>
            <w:tcW w:w="2250" w:type="dxa"/>
          </w:tcPr>
          <w:p w:rsidR="00960ACD" w:rsidRDefault="002D546B">
            <w:r>
              <w:t>Student Packet</w:t>
            </w:r>
          </w:p>
        </w:tc>
        <w:tc>
          <w:tcPr>
            <w:tcW w:w="3708" w:type="dxa"/>
          </w:tcPr>
          <w:p w:rsidR="00757556" w:rsidRPr="002976A0" w:rsidRDefault="00E1756C" w:rsidP="002976A0">
            <w:r>
              <w:t>Fix the problem</w:t>
            </w:r>
          </w:p>
        </w:tc>
      </w:tr>
    </w:tbl>
    <w:p w:rsidR="002F4CB5" w:rsidRDefault="002F4CB5"/>
    <w:p w:rsidR="002D546B" w:rsidRDefault="002D546B"/>
    <w:p w:rsidR="00B13F90" w:rsidRDefault="00B13F90"/>
    <w:sectPr w:rsidR="00B13F90" w:rsidSect="005F6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0311"/>
    <w:multiLevelType w:val="hybridMultilevel"/>
    <w:tmpl w:val="B9044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607CC8"/>
    <w:multiLevelType w:val="hybridMultilevel"/>
    <w:tmpl w:val="168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E161A"/>
    <w:multiLevelType w:val="hybridMultilevel"/>
    <w:tmpl w:val="56D6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F5AED"/>
    <w:multiLevelType w:val="hybridMultilevel"/>
    <w:tmpl w:val="BFEC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8538BB"/>
    <w:multiLevelType w:val="hybridMultilevel"/>
    <w:tmpl w:val="6C12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F4CB5"/>
    <w:rsid w:val="000002E6"/>
    <w:rsid w:val="00035BB0"/>
    <w:rsid w:val="000842DA"/>
    <w:rsid w:val="000F65FC"/>
    <w:rsid w:val="001150B2"/>
    <w:rsid w:val="00147A5F"/>
    <w:rsid w:val="0019757D"/>
    <w:rsid w:val="001D47A3"/>
    <w:rsid w:val="00206709"/>
    <w:rsid w:val="0023328F"/>
    <w:rsid w:val="002976A0"/>
    <w:rsid w:val="002C20BF"/>
    <w:rsid w:val="002D546B"/>
    <w:rsid w:val="002F4CB5"/>
    <w:rsid w:val="00313229"/>
    <w:rsid w:val="00351063"/>
    <w:rsid w:val="00370FC2"/>
    <w:rsid w:val="00553EA1"/>
    <w:rsid w:val="005D7BED"/>
    <w:rsid w:val="005E5F58"/>
    <w:rsid w:val="005F6A34"/>
    <w:rsid w:val="006B43E5"/>
    <w:rsid w:val="006B5288"/>
    <w:rsid w:val="006F3E96"/>
    <w:rsid w:val="00705C4F"/>
    <w:rsid w:val="00744EF7"/>
    <w:rsid w:val="00757556"/>
    <w:rsid w:val="00757D71"/>
    <w:rsid w:val="007C644C"/>
    <w:rsid w:val="00803246"/>
    <w:rsid w:val="008926A9"/>
    <w:rsid w:val="00960ACD"/>
    <w:rsid w:val="00984B24"/>
    <w:rsid w:val="00987C50"/>
    <w:rsid w:val="00A97A08"/>
    <w:rsid w:val="00B13F90"/>
    <w:rsid w:val="00B36FC4"/>
    <w:rsid w:val="00BB5C09"/>
    <w:rsid w:val="00C46BD5"/>
    <w:rsid w:val="00CB27F8"/>
    <w:rsid w:val="00CC0310"/>
    <w:rsid w:val="00D27253"/>
    <w:rsid w:val="00D76F85"/>
    <w:rsid w:val="00DA3CCB"/>
    <w:rsid w:val="00DF4A03"/>
    <w:rsid w:val="00E1756C"/>
    <w:rsid w:val="00E61119"/>
    <w:rsid w:val="00E85009"/>
    <w:rsid w:val="00F935E6"/>
    <w:rsid w:val="00FD7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C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2F4CB5"/>
    <w:pPr>
      <w:spacing w:after="0" w:line="240" w:lineRule="auto"/>
    </w:pPr>
    <w:rPr>
      <w:color w:val="DE9306" w:themeColor="accent4" w:themeShade="BF"/>
    </w:rPr>
    <w:tblPr>
      <w:tblStyleRowBandSize w:val="1"/>
      <w:tblStyleColBandSize w:val="1"/>
      <w:tblInd w:w="0" w:type="dxa"/>
      <w:tblBorders>
        <w:top w:val="single" w:sz="8" w:space="0" w:color="F9B639" w:themeColor="accent4"/>
        <w:bottom w:val="single" w:sz="8" w:space="0" w:color="F9B63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9B639" w:themeColor="accent4"/>
          <w:left w:val="nil"/>
          <w:bottom w:val="single" w:sz="8" w:space="0" w:color="F9B639" w:themeColor="accent4"/>
          <w:right w:val="nil"/>
          <w:insideH w:val="nil"/>
          <w:insideV w:val="nil"/>
        </w:tcBorders>
      </w:tcPr>
    </w:tblStylePr>
    <w:tblStylePr w:type="lastRow">
      <w:pPr>
        <w:spacing w:before="0" w:after="0" w:line="240" w:lineRule="auto"/>
      </w:pPr>
      <w:rPr>
        <w:b/>
        <w:bCs/>
      </w:rPr>
      <w:tblPr/>
      <w:tcPr>
        <w:tcBorders>
          <w:top w:val="single" w:sz="8" w:space="0" w:color="F9B639" w:themeColor="accent4"/>
          <w:left w:val="nil"/>
          <w:bottom w:val="single" w:sz="8" w:space="0" w:color="F9B63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D" w:themeFill="accent4" w:themeFillTint="3F"/>
      </w:tcPr>
    </w:tblStylePr>
    <w:tblStylePr w:type="band1Horz">
      <w:tblPr/>
      <w:tcPr>
        <w:tcBorders>
          <w:left w:val="nil"/>
          <w:right w:val="nil"/>
          <w:insideH w:val="nil"/>
          <w:insideV w:val="nil"/>
        </w:tcBorders>
        <w:shd w:val="clear" w:color="auto" w:fill="FDECCD" w:themeFill="accent4" w:themeFillTint="3F"/>
      </w:tcPr>
    </w:tblStylePr>
  </w:style>
  <w:style w:type="table" w:styleId="LightShading-Accent3">
    <w:name w:val="Light Shading Accent 3"/>
    <w:basedOn w:val="TableNormal"/>
    <w:uiPriority w:val="60"/>
    <w:rsid w:val="00960ACD"/>
    <w:pPr>
      <w:spacing w:after="0" w:line="240" w:lineRule="auto"/>
    </w:pPr>
    <w:rPr>
      <w:color w:val="B14C1D" w:themeColor="accent3" w:themeShade="BF"/>
    </w:rPr>
    <w:tblPr>
      <w:tblStyleRowBandSize w:val="1"/>
      <w:tblStyleColBandSize w:val="1"/>
      <w:tblInd w:w="0" w:type="dxa"/>
      <w:tblBorders>
        <w:top w:val="single" w:sz="8" w:space="0" w:color="DE6C36" w:themeColor="accent3"/>
        <w:bottom w:val="single" w:sz="8" w:space="0" w:color="DE6C3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E6C36" w:themeColor="accent3"/>
          <w:left w:val="nil"/>
          <w:bottom w:val="single" w:sz="8" w:space="0" w:color="DE6C36" w:themeColor="accent3"/>
          <w:right w:val="nil"/>
          <w:insideH w:val="nil"/>
          <w:insideV w:val="nil"/>
        </w:tcBorders>
      </w:tcPr>
    </w:tblStylePr>
    <w:tblStylePr w:type="lastRow">
      <w:pPr>
        <w:spacing w:before="0" w:after="0" w:line="240" w:lineRule="auto"/>
      </w:pPr>
      <w:rPr>
        <w:b/>
        <w:bCs/>
      </w:rPr>
      <w:tblPr/>
      <w:tcPr>
        <w:tcBorders>
          <w:top w:val="single" w:sz="8" w:space="0" w:color="DE6C36" w:themeColor="accent3"/>
          <w:left w:val="nil"/>
          <w:bottom w:val="single" w:sz="8" w:space="0" w:color="DE6C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ACD" w:themeFill="accent3" w:themeFillTint="3F"/>
      </w:tcPr>
    </w:tblStylePr>
    <w:tblStylePr w:type="band1Horz">
      <w:tblPr/>
      <w:tcPr>
        <w:tcBorders>
          <w:left w:val="nil"/>
          <w:right w:val="nil"/>
          <w:insideH w:val="nil"/>
          <w:insideV w:val="nil"/>
        </w:tcBorders>
        <w:shd w:val="clear" w:color="auto" w:fill="F6DACD" w:themeFill="accent3" w:themeFillTint="3F"/>
      </w:tcPr>
    </w:tblStylePr>
  </w:style>
  <w:style w:type="table" w:styleId="LightShading-Accent2">
    <w:name w:val="Light Shading Accent 2"/>
    <w:basedOn w:val="TableNormal"/>
    <w:uiPriority w:val="60"/>
    <w:rsid w:val="002D546B"/>
    <w:pPr>
      <w:spacing w:after="0" w:line="240" w:lineRule="auto"/>
    </w:pPr>
    <w:rPr>
      <w:color w:val="874295" w:themeColor="accent2" w:themeShade="BF"/>
    </w:rPr>
    <w:tblPr>
      <w:tblStyleRowBandSize w:val="1"/>
      <w:tblStyleColBandSize w:val="1"/>
      <w:tblInd w:w="0" w:type="dxa"/>
      <w:tblBorders>
        <w:top w:val="single" w:sz="8" w:space="0" w:color="AC66BB" w:themeColor="accent2"/>
        <w:bottom w:val="single" w:sz="8" w:space="0" w:color="AC66B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C66BB" w:themeColor="accent2"/>
          <w:left w:val="nil"/>
          <w:bottom w:val="single" w:sz="8" w:space="0" w:color="AC66BB" w:themeColor="accent2"/>
          <w:right w:val="nil"/>
          <w:insideH w:val="nil"/>
          <w:insideV w:val="nil"/>
        </w:tcBorders>
      </w:tcPr>
    </w:tblStylePr>
    <w:tblStylePr w:type="lastRow">
      <w:pPr>
        <w:spacing w:before="0" w:after="0" w:line="240" w:lineRule="auto"/>
      </w:pPr>
      <w:rPr>
        <w:b/>
        <w:bCs/>
      </w:rPr>
      <w:tblPr/>
      <w:tcPr>
        <w:tcBorders>
          <w:top w:val="single" w:sz="8" w:space="0" w:color="AC66BB" w:themeColor="accent2"/>
          <w:left w:val="nil"/>
          <w:bottom w:val="single" w:sz="8" w:space="0" w:color="AC66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9EE" w:themeFill="accent2" w:themeFillTint="3F"/>
      </w:tcPr>
    </w:tblStylePr>
    <w:tblStylePr w:type="band1Horz">
      <w:tblPr/>
      <w:tcPr>
        <w:tcBorders>
          <w:left w:val="nil"/>
          <w:right w:val="nil"/>
          <w:insideH w:val="nil"/>
          <w:insideV w:val="nil"/>
        </w:tcBorders>
        <w:shd w:val="clear" w:color="auto" w:fill="EAD9EE" w:themeFill="accent2" w:themeFillTint="3F"/>
      </w:tcPr>
    </w:tblStylePr>
  </w:style>
  <w:style w:type="table" w:styleId="MediumShading1-Accent3">
    <w:name w:val="Medium Shading 1 Accent 3"/>
    <w:basedOn w:val="TableNormal"/>
    <w:uiPriority w:val="63"/>
    <w:rsid w:val="00987C50"/>
    <w:pPr>
      <w:spacing w:after="0" w:line="240" w:lineRule="auto"/>
    </w:pPr>
    <w:tblPr>
      <w:tblStyleRowBandSize w:val="1"/>
      <w:tblStyleColBandSize w:val="1"/>
      <w:tblInd w:w="0" w:type="dxa"/>
      <w:tblBorders>
        <w:top w:val="single" w:sz="8" w:space="0" w:color="E69068" w:themeColor="accent3" w:themeTint="BF"/>
        <w:left w:val="single" w:sz="8" w:space="0" w:color="E69068" w:themeColor="accent3" w:themeTint="BF"/>
        <w:bottom w:val="single" w:sz="8" w:space="0" w:color="E69068" w:themeColor="accent3" w:themeTint="BF"/>
        <w:right w:val="single" w:sz="8" w:space="0" w:color="E69068" w:themeColor="accent3" w:themeTint="BF"/>
        <w:insideH w:val="single" w:sz="8" w:space="0" w:color="E69068"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69068" w:themeColor="accent3" w:themeTint="BF"/>
          <w:left w:val="single" w:sz="8" w:space="0" w:color="E69068" w:themeColor="accent3" w:themeTint="BF"/>
          <w:bottom w:val="single" w:sz="8" w:space="0" w:color="E69068" w:themeColor="accent3" w:themeTint="BF"/>
          <w:right w:val="single" w:sz="8" w:space="0" w:color="E69068" w:themeColor="accent3" w:themeTint="BF"/>
          <w:insideH w:val="nil"/>
          <w:insideV w:val="nil"/>
        </w:tcBorders>
        <w:shd w:val="clear" w:color="auto" w:fill="DE6C36" w:themeFill="accent3"/>
      </w:tcPr>
    </w:tblStylePr>
    <w:tblStylePr w:type="lastRow">
      <w:pPr>
        <w:spacing w:before="0" w:after="0" w:line="240" w:lineRule="auto"/>
      </w:pPr>
      <w:rPr>
        <w:b/>
        <w:bCs/>
      </w:rPr>
      <w:tblPr/>
      <w:tcPr>
        <w:tcBorders>
          <w:top w:val="double" w:sz="6" w:space="0" w:color="E69068" w:themeColor="accent3" w:themeTint="BF"/>
          <w:left w:val="single" w:sz="8" w:space="0" w:color="E69068" w:themeColor="accent3" w:themeTint="BF"/>
          <w:bottom w:val="single" w:sz="8" w:space="0" w:color="E69068" w:themeColor="accent3" w:themeTint="BF"/>
          <w:right w:val="single" w:sz="8" w:space="0" w:color="E6906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6DACD" w:themeFill="accent3" w:themeFillTint="3F"/>
      </w:tcPr>
    </w:tblStylePr>
    <w:tblStylePr w:type="band1Horz">
      <w:tblPr/>
      <w:tcPr>
        <w:tcBorders>
          <w:insideH w:val="nil"/>
          <w:insideV w:val="nil"/>
        </w:tcBorders>
        <w:shd w:val="clear" w:color="auto" w:fill="F6DA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87C50"/>
    <w:pPr>
      <w:spacing w:after="0" w:line="240" w:lineRule="auto"/>
    </w:pPr>
    <w:tblPr>
      <w:tblStyleRowBandSize w:val="1"/>
      <w:tblStyleColBandSize w:val="1"/>
      <w:tblInd w:w="0" w:type="dxa"/>
      <w:tblBorders>
        <w:top w:val="single" w:sz="8" w:space="0" w:color="FAC86A" w:themeColor="accent4" w:themeTint="BF"/>
        <w:left w:val="single" w:sz="8" w:space="0" w:color="FAC86A" w:themeColor="accent4" w:themeTint="BF"/>
        <w:bottom w:val="single" w:sz="8" w:space="0" w:color="FAC86A" w:themeColor="accent4" w:themeTint="BF"/>
        <w:right w:val="single" w:sz="8" w:space="0" w:color="FAC86A" w:themeColor="accent4" w:themeTint="BF"/>
        <w:insideH w:val="single" w:sz="8" w:space="0" w:color="FAC86A"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AC86A" w:themeColor="accent4" w:themeTint="BF"/>
          <w:left w:val="single" w:sz="8" w:space="0" w:color="FAC86A" w:themeColor="accent4" w:themeTint="BF"/>
          <w:bottom w:val="single" w:sz="8" w:space="0" w:color="FAC86A" w:themeColor="accent4" w:themeTint="BF"/>
          <w:right w:val="single" w:sz="8" w:space="0" w:color="FAC86A" w:themeColor="accent4" w:themeTint="BF"/>
          <w:insideH w:val="nil"/>
          <w:insideV w:val="nil"/>
        </w:tcBorders>
        <w:shd w:val="clear" w:color="auto" w:fill="F9B639" w:themeFill="accent4"/>
      </w:tcPr>
    </w:tblStylePr>
    <w:tblStylePr w:type="lastRow">
      <w:pPr>
        <w:spacing w:before="0" w:after="0" w:line="240" w:lineRule="auto"/>
      </w:pPr>
      <w:rPr>
        <w:b/>
        <w:bCs/>
      </w:rPr>
      <w:tblPr/>
      <w:tcPr>
        <w:tcBorders>
          <w:top w:val="double" w:sz="6" w:space="0" w:color="FAC86A" w:themeColor="accent4" w:themeTint="BF"/>
          <w:left w:val="single" w:sz="8" w:space="0" w:color="FAC86A" w:themeColor="accent4" w:themeTint="BF"/>
          <w:bottom w:val="single" w:sz="8" w:space="0" w:color="FAC86A" w:themeColor="accent4" w:themeTint="BF"/>
          <w:right w:val="single" w:sz="8" w:space="0" w:color="FAC86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CCD" w:themeFill="accent4" w:themeFillTint="3F"/>
      </w:tcPr>
    </w:tblStylePr>
    <w:tblStylePr w:type="band1Horz">
      <w:tblPr/>
      <w:tcPr>
        <w:tcBorders>
          <w:insideH w:val="nil"/>
          <w:insideV w:val="nil"/>
        </w:tcBorders>
        <w:shd w:val="clear" w:color="auto" w:fill="FDECCD"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BB5C09"/>
    <w:pPr>
      <w:ind w:left="720"/>
      <w:contextualSpacing/>
    </w:pPr>
  </w:style>
  <w:style w:type="paragraph" w:styleId="BalloonText">
    <w:name w:val="Balloon Text"/>
    <w:basedOn w:val="Normal"/>
    <w:link w:val="BalloonTextChar"/>
    <w:uiPriority w:val="99"/>
    <w:semiHidden/>
    <w:unhideWhenUsed/>
    <w:rsid w:val="005D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2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6</cp:revision>
  <dcterms:created xsi:type="dcterms:W3CDTF">2009-07-28T16:22:00Z</dcterms:created>
  <dcterms:modified xsi:type="dcterms:W3CDTF">2009-08-05T16:35:00Z</dcterms:modified>
</cp:coreProperties>
</file>