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9" w:rsidRDefault="0077646E" w:rsidP="00BB5C09">
      <w:pPr>
        <w:pBdr>
          <w:bottom w:val="single" w:sz="12" w:space="1" w:color="auto"/>
        </w:pBdr>
      </w:pPr>
      <w:proofErr w:type="gramStart"/>
      <w:r>
        <w:t>M.5.A.1.4.1 Locate/Identify integers on a number line (greater than or equal to -20).</w:t>
      </w:r>
      <w:proofErr w:type="gramEnd"/>
    </w:p>
    <w:tbl>
      <w:tblPr>
        <w:tblStyle w:val="MediumShading1-Accent3"/>
        <w:tblW w:w="0" w:type="auto"/>
        <w:tblLook w:val="0420"/>
      </w:tblPr>
      <w:tblGrid>
        <w:gridCol w:w="2178"/>
        <w:gridCol w:w="1440"/>
        <w:gridCol w:w="2250"/>
        <w:gridCol w:w="3708"/>
      </w:tblGrid>
      <w:tr w:rsidR="00960ACD" w:rsidTr="00B13F90">
        <w:trPr>
          <w:cnfStyle w:val="100000000000"/>
        </w:trPr>
        <w:tc>
          <w:tcPr>
            <w:tcW w:w="2178" w:type="dxa"/>
          </w:tcPr>
          <w:p w:rsidR="00960ACD" w:rsidRDefault="00960ACD">
            <w:r>
              <w:t>COMPONENT</w:t>
            </w:r>
          </w:p>
        </w:tc>
        <w:tc>
          <w:tcPr>
            <w:tcW w:w="1440" w:type="dxa"/>
          </w:tcPr>
          <w:p w:rsidR="00960ACD" w:rsidRDefault="00960ACD">
            <w:r>
              <w:t>TIME</w:t>
            </w:r>
          </w:p>
        </w:tc>
        <w:tc>
          <w:tcPr>
            <w:tcW w:w="2250" w:type="dxa"/>
          </w:tcPr>
          <w:p w:rsidR="00960ACD" w:rsidRDefault="00960ACD">
            <w:r>
              <w:t>MATERIALS</w:t>
            </w:r>
          </w:p>
        </w:tc>
        <w:tc>
          <w:tcPr>
            <w:tcW w:w="3708" w:type="dxa"/>
          </w:tcPr>
          <w:p w:rsidR="00960ACD" w:rsidRDefault="00960ACD">
            <w:r>
              <w:t>DESCRIPTION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Review 4 You</w:t>
            </w:r>
          </w:p>
        </w:tc>
        <w:tc>
          <w:tcPr>
            <w:tcW w:w="1440" w:type="dxa"/>
          </w:tcPr>
          <w:p w:rsidR="00960ACD" w:rsidRDefault="00960ACD">
            <w:r>
              <w:t>3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</w:t>
            </w:r>
            <w:r w:rsidR="00960ACD">
              <w:t xml:space="preserve"> Packet</w:t>
            </w:r>
          </w:p>
          <w:p w:rsidR="001150B2" w:rsidRDefault="001150B2"/>
          <w:p w:rsidR="001150B2" w:rsidRDefault="001150B2"/>
        </w:tc>
        <w:tc>
          <w:tcPr>
            <w:tcW w:w="3708" w:type="dxa"/>
          </w:tcPr>
          <w:p w:rsidR="00E85009" w:rsidRDefault="0077646E" w:rsidP="007764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Place the following numbers on the number line below.</w:t>
            </w:r>
          </w:p>
          <w:p w:rsidR="0077646E" w:rsidRDefault="0077646E" w:rsidP="0077646E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4                    3. 16</w:t>
            </w:r>
          </w:p>
          <w:p w:rsidR="0077646E" w:rsidRPr="0077646E" w:rsidRDefault="0077646E" w:rsidP="0077646E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11                  4. 19</w:t>
            </w:r>
            <w:r w:rsidRPr="0077646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Today’s Task</w:t>
            </w:r>
          </w:p>
        </w:tc>
        <w:tc>
          <w:tcPr>
            <w:tcW w:w="1440" w:type="dxa"/>
          </w:tcPr>
          <w:p w:rsidR="00960ACD" w:rsidRDefault="00960ACD">
            <w:r>
              <w:t>2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</w:tc>
        <w:tc>
          <w:tcPr>
            <w:tcW w:w="3708" w:type="dxa"/>
          </w:tcPr>
          <w:p w:rsidR="001D47A3" w:rsidRPr="002C20BF" w:rsidRDefault="00E931BC">
            <w:r>
              <w:t>On a timeline write one event that happened in the past, one event that you hope will happen in the future, and one event from today. Put them in order</w:t>
            </w:r>
            <w:r w:rsidR="00044D0D">
              <w:t xml:space="preserve"> on the timeline</w:t>
            </w:r>
            <w:r>
              <w:t xml:space="preserve"> by when they happened.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Lesson</w:t>
            </w:r>
          </w:p>
        </w:tc>
        <w:tc>
          <w:tcPr>
            <w:tcW w:w="1440" w:type="dxa"/>
          </w:tcPr>
          <w:p w:rsidR="00960ACD" w:rsidRDefault="00960ACD">
            <w:r>
              <w:t>10 min</w:t>
            </w:r>
            <w:r w:rsidR="002D546B">
              <w:t>.</w:t>
            </w:r>
          </w:p>
        </w:tc>
        <w:tc>
          <w:tcPr>
            <w:tcW w:w="2250" w:type="dxa"/>
          </w:tcPr>
          <w:p w:rsidR="005D7BED" w:rsidRDefault="00A97A08">
            <w:r>
              <w:t>Lesson File</w:t>
            </w:r>
          </w:p>
          <w:p w:rsidR="005D7BED" w:rsidRDefault="005D7BED">
            <w:r>
              <w:t>Laptop/Projector</w:t>
            </w:r>
          </w:p>
        </w:tc>
        <w:tc>
          <w:tcPr>
            <w:tcW w:w="3708" w:type="dxa"/>
          </w:tcPr>
          <w:p w:rsidR="00960ACD" w:rsidRDefault="00960ACD">
            <w:r>
              <w:t>Whole group instruction of concepts and sample problems.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Hands-On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705C4F">
              <w:t>Packet</w:t>
            </w:r>
          </w:p>
          <w:p w:rsidR="00705C4F" w:rsidRDefault="001D368D">
            <w:r>
              <w:t>Liquid Scent</w:t>
            </w:r>
          </w:p>
          <w:p w:rsidR="001D368D" w:rsidRDefault="001D368D">
            <w:r>
              <w:t>Sorting Cards</w:t>
            </w:r>
          </w:p>
        </w:tc>
        <w:tc>
          <w:tcPr>
            <w:tcW w:w="3708" w:type="dxa"/>
          </w:tcPr>
          <w:p w:rsidR="00960ACD" w:rsidRDefault="00F33FCD" w:rsidP="00705C4F">
            <w:r>
              <w:t xml:space="preserve">Sorting smelly numbers on a number line. 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Open-Ended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  <w:p w:rsidR="00960ACD" w:rsidRDefault="002D546B">
            <w:r>
              <w:t>Writing</w:t>
            </w:r>
            <w:r w:rsidR="00960ACD">
              <w:t xml:space="preserve"> Organizer</w:t>
            </w:r>
          </w:p>
        </w:tc>
        <w:tc>
          <w:tcPr>
            <w:tcW w:w="3708" w:type="dxa"/>
          </w:tcPr>
          <w:p w:rsidR="00960ACD" w:rsidRDefault="00960ACD">
            <w:r>
              <w:t xml:space="preserve">Students complete open-ended response </w:t>
            </w:r>
            <w:r w:rsidR="002D546B">
              <w:t>for word problem</w:t>
            </w:r>
            <w:r w:rsidR="005D7BED">
              <w:t xml:space="preserve"> in student packet</w:t>
            </w:r>
            <w:r w:rsidR="002D546B">
              <w:t>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Practice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 w:rsidP="002D546B">
            <w:pPr>
              <w:ind w:left="720" w:hanging="720"/>
            </w:pPr>
            <w:r>
              <w:t>Student Packet</w:t>
            </w:r>
          </w:p>
        </w:tc>
        <w:tc>
          <w:tcPr>
            <w:tcW w:w="3708" w:type="dxa"/>
          </w:tcPr>
          <w:p w:rsidR="00960ACD" w:rsidRDefault="002D546B">
            <w:r>
              <w:t>Students complete tiered practice worksheet</w:t>
            </w:r>
            <w:r w:rsidR="005D7BED">
              <w:t xml:space="preserve"> in student packet</w:t>
            </w:r>
            <w:r>
              <w:t>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Wrap-Up</w:t>
            </w:r>
          </w:p>
        </w:tc>
        <w:tc>
          <w:tcPr>
            <w:tcW w:w="1440" w:type="dxa"/>
          </w:tcPr>
          <w:p w:rsidR="00960ACD" w:rsidRPr="00960ACD" w:rsidRDefault="00960ACD">
            <w:pPr>
              <w:rPr>
                <w:u w:val="single"/>
              </w:rPr>
            </w:pPr>
            <w:r>
              <w:t>15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 Packet</w:t>
            </w:r>
          </w:p>
        </w:tc>
        <w:tc>
          <w:tcPr>
            <w:tcW w:w="3708" w:type="dxa"/>
          </w:tcPr>
          <w:p w:rsidR="00757556" w:rsidRPr="002976A0" w:rsidRDefault="00E141E4" w:rsidP="002976A0">
            <w:r>
              <w:t>Order the students.</w:t>
            </w:r>
          </w:p>
        </w:tc>
      </w:tr>
    </w:tbl>
    <w:p w:rsidR="002F4CB5" w:rsidRDefault="002F4CB5"/>
    <w:tbl>
      <w:tblPr>
        <w:tblStyle w:val="MediumShading1-Accent3"/>
        <w:tblW w:w="0" w:type="auto"/>
        <w:tblLook w:val="04A0"/>
      </w:tblPr>
      <w:tblGrid>
        <w:gridCol w:w="9576"/>
      </w:tblGrid>
      <w:tr w:rsidR="002D546B" w:rsidTr="00987C50">
        <w:trPr>
          <w:cnfStyle w:val="100000000000"/>
        </w:trPr>
        <w:tc>
          <w:tcPr>
            <w:cnfStyle w:val="001000000000"/>
            <w:tcW w:w="9576" w:type="dxa"/>
          </w:tcPr>
          <w:p w:rsidR="002D546B" w:rsidRDefault="00987C50">
            <w:r>
              <w:t>MATH ORGANIZER</w:t>
            </w:r>
          </w:p>
        </w:tc>
      </w:tr>
      <w:tr w:rsidR="002D546B" w:rsidTr="00987C50">
        <w:trPr>
          <w:cnfStyle w:val="000000100000"/>
        </w:trPr>
        <w:tc>
          <w:tcPr>
            <w:cnfStyle w:val="001000000000"/>
            <w:tcW w:w="9576" w:type="dxa"/>
          </w:tcPr>
          <w:p w:rsidR="000F65FC" w:rsidRDefault="000F65FC"/>
          <w:p w:rsidR="002D546B" w:rsidRDefault="002D546B"/>
          <w:p w:rsidR="000F65FC" w:rsidRDefault="00D22EA5" w:rsidP="0019757D">
            <w:pPr>
              <w:rPr>
                <w:color w:val="EBA686" w:themeColor="accent3" w:themeTint="99"/>
              </w:rPr>
            </w:pPr>
            <w:r>
              <w:rPr>
                <w:noProof/>
              </w:rPr>
              <w:pict>
                <v:rect id="_x0000_s1033" style="position:absolute;margin-left:186.05pt;margin-top:11.9pt;width:17.55pt;height:20.65pt;z-index:251665408" stroked="f">
                  <v:textbox>
                    <w:txbxContent>
                      <w:p w:rsidR="00D22EA5" w:rsidRPr="005A4A52" w:rsidRDefault="00D22EA5" w:rsidP="00D22EA5">
                        <w:pPr>
                          <w:cnfStyle w:val="001000100000"/>
                          <w:rPr>
                            <w:color w:val="FBD387" w:themeColor="accent4" w:themeTint="99"/>
                          </w:rPr>
                        </w:pPr>
                        <w:r w:rsidRPr="005A4A52">
                          <w:rPr>
                            <w:color w:val="FBD387" w:themeColor="accent4" w:themeTint="99"/>
                          </w:rPr>
                          <w:t>-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2" style="position:absolute;margin-left:337.75pt;margin-top:11.9pt;width:17.55pt;height:20.65pt;z-index:251664384" stroked="f">
                  <v:textbox>
                    <w:txbxContent>
                      <w:p w:rsidR="00D22EA5" w:rsidRPr="005A4A52" w:rsidRDefault="00D22EA5" w:rsidP="00D22EA5">
                        <w:pPr>
                          <w:cnfStyle w:val="001000100000"/>
                          <w:rPr>
                            <w:color w:val="FDD1B1" w:themeColor="accent6" w:themeTint="66"/>
                            <w:sz w:val="28"/>
                            <w:szCs w:val="28"/>
                          </w:rPr>
                        </w:pPr>
                        <w:r w:rsidRPr="005A4A52">
                          <w:rPr>
                            <w:b/>
                            <w:color w:val="FDD1B1" w:themeColor="accent6" w:themeTint="66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1" style="position:absolute;margin-left:307.6pt;margin-top:11.9pt;width:17.55pt;height:20.65pt;z-index:251663360" stroked="f">
                  <v:textbox>
                    <w:txbxContent>
                      <w:p w:rsidR="00D22EA5" w:rsidRPr="005A4A52" w:rsidRDefault="00D22EA5" w:rsidP="00D22EA5">
                        <w:pPr>
                          <w:cnfStyle w:val="001000100000"/>
                          <w:rPr>
                            <w:color w:val="FDD1B1" w:themeColor="accent6" w:themeTint="66"/>
                            <w:sz w:val="24"/>
                            <w:szCs w:val="24"/>
                          </w:rPr>
                        </w:pPr>
                        <w:r w:rsidRPr="005A4A52">
                          <w:rPr>
                            <w:b/>
                            <w:color w:val="FDD1B1" w:themeColor="accent6" w:themeTint="66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0" style="position:absolute;margin-left:277.45pt;margin-top:11.9pt;width:17.55pt;height:20.65pt;z-index:251662336" stroked="f">
                  <v:textbox>
                    <w:txbxContent>
                      <w:p w:rsidR="00D22EA5" w:rsidRPr="005A4A52" w:rsidRDefault="00D22EA5" w:rsidP="00D22EA5">
                        <w:pPr>
                          <w:cnfStyle w:val="001000100000"/>
                          <w:rPr>
                            <w:color w:val="FDD1B1" w:themeColor="accent6" w:themeTint="66"/>
                            <w:sz w:val="24"/>
                            <w:szCs w:val="24"/>
                          </w:rPr>
                        </w:pPr>
                        <w:r w:rsidRPr="005A4A52">
                          <w:rPr>
                            <w:b/>
                            <w:color w:val="FDD1B1" w:themeColor="accent6" w:themeTint="66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9" style="position:absolute;margin-left:247.4pt;margin-top:11.9pt;width:17.55pt;height:20.65pt;z-index:251661312" stroked="f">
                  <v:textbox>
                    <w:txbxContent>
                      <w:p w:rsidR="00D22EA5" w:rsidRPr="005A4A52" w:rsidRDefault="00D22EA5" w:rsidP="00D22EA5">
                        <w:pPr>
                          <w:cnfStyle w:val="001000100000"/>
                          <w:rPr>
                            <w:color w:val="FDD1B1" w:themeColor="accent6" w:themeTint="66"/>
                          </w:rPr>
                        </w:pPr>
                        <w:r w:rsidRPr="005A4A52">
                          <w:rPr>
                            <w:color w:val="FDD1B1" w:themeColor="accent6" w:themeTint="66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8" style="position:absolute;margin-left:217.85pt;margin-top:11.9pt;width:17.55pt;height:20.65pt;z-index:251660288" stroked="f">
                  <v:textbox>
                    <w:txbxContent>
                      <w:p w:rsidR="00D22EA5" w:rsidRDefault="00D22EA5" w:rsidP="00D22EA5">
                        <w:pPr>
                          <w:cnfStyle w:val="001000100000"/>
                        </w:pPr>
                        <w:r>
                          <w:t>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4.45pt;margin-top:22pt;width:190.95pt;height:0;flip:x;z-index:251659264" o:connectortype="straight" strokecolor="#f9b639 [3207]" strokeweight="3pt">
                  <v:stroke endarrow="block"/>
                  <v:shadow type="perspective" color="#936104 [1607]" offset="1pt" offset2="-3pt"/>
                </v:shape>
              </w:pict>
            </w:r>
            <w:r>
              <w:rPr>
                <w:noProof/>
              </w:rPr>
              <w:pict>
                <v:shape id="_x0000_s1026" type="#_x0000_t32" style="position:absolute;margin-left:225.4pt;margin-top:22pt;width:204.7pt;height:0;z-index:251658240" o:connectortype="straight" strokecolor="#de6c36 [3206]" strokeweight="3pt">
                  <v:stroke endarrow="block"/>
                  <v:shadow type="perspective" color="#753213 [1606]" offset="1pt" offset2="-3pt"/>
                </v:shape>
              </w:pict>
            </w:r>
            <w:r>
              <w:rPr>
                <w:noProof/>
              </w:rPr>
              <w:pict>
                <v:rect id="_x0000_s1036" style="position:absolute;margin-left:92.1pt;margin-top:11.9pt;width:17.55pt;height:20.65pt;z-index:251668480" stroked="f">
                  <v:textbox>
                    <w:txbxContent>
                      <w:p w:rsidR="00D22EA5" w:rsidRPr="00E72BBB" w:rsidRDefault="00D22EA5" w:rsidP="00D22EA5">
                        <w:pPr>
                          <w:cnfStyle w:val="001000100000"/>
                          <w:rPr>
                            <w:color w:val="FBD387" w:themeColor="accent4" w:themeTint="99"/>
                          </w:rPr>
                        </w:pPr>
                        <w:r w:rsidRPr="00E72BBB">
                          <w:rPr>
                            <w:color w:val="FBD387" w:themeColor="accent4" w:themeTint="99"/>
                          </w:rPr>
                          <w:t>-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5" style="position:absolute;margin-left:124.75pt;margin-top:11.9pt;width:17.55pt;height:20.65pt;z-index:251667456" stroked="f">
                  <v:textbox>
                    <w:txbxContent>
                      <w:p w:rsidR="00D22EA5" w:rsidRPr="00E72BBB" w:rsidRDefault="00D22EA5" w:rsidP="00D22EA5">
                        <w:pPr>
                          <w:cnfStyle w:val="001000100000"/>
                          <w:rPr>
                            <w:color w:val="FBD387" w:themeColor="accent4" w:themeTint="99"/>
                          </w:rPr>
                        </w:pPr>
                        <w:r w:rsidRPr="00E72BBB">
                          <w:rPr>
                            <w:color w:val="FBD387" w:themeColor="accent4" w:themeTint="99"/>
                          </w:rPr>
                          <w:t>-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4" style="position:absolute;margin-left:155.9pt;margin-top:11.9pt;width:17.55pt;height:20.65pt;z-index:251666432" stroked="f">
                  <v:textbox style="mso-next-textbox:#_x0000_s1034">
                    <w:txbxContent>
                      <w:p w:rsidR="00D22EA5" w:rsidRPr="005A4A52" w:rsidRDefault="00D22EA5" w:rsidP="00D22EA5">
                        <w:pPr>
                          <w:cnfStyle w:val="001000100000"/>
                          <w:rPr>
                            <w:color w:val="FBD387" w:themeColor="accent4" w:themeTint="99"/>
                          </w:rPr>
                        </w:pPr>
                        <w:r w:rsidRPr="005A4A52">
                          <w:rPr>
                            <w:color w:val="FBD387" w:themeColor="accent4" w:themeTint="99"/>
                          </w:rPr>
                          <w:t>-</w:t>
                        </w:r>
                      </w:p>
                    </w:txbxContent>
                  </v:textbox>
                </v:rect>
              </w:pict>
            </w:r>
            <w:r w:rsidR="000F65FC">
              <w:t xml:space="preserve">                 </w:t>
            </w:r>
          </w:p>
          <w:p w:rsidR="0019757D" w:rsidRDefault="0019757D" w:rsidP="0019757D">
            <w:pPr>
              <w:rPr>
                <w:color w:val="EBA686" w:themeColor="accent3" w:themeTint="99"/>
              </w:rPr>
            </w:pPr>
          </w:p>
          <w:p w:rsidR="0019757D" w:rsidRPr="000F65FC" w:rsidRDefault="0019757D" w:rsidP="0019757D">
            <w:pPr>
              <w:rPr>
                <w:color w:val="EBA686" w:themeColor="accent3" w:themeTint="99"/>
              </w:rPr>
            </w:pPr>
          </w:p>
          <w:p w:rsidR="000F65FC" w:rsidRDefault="000F65FC"/>
          <w:p w:rsidR="00757556" w:rsidRDefault="00757556"/>
        </w:tc>
      </w:tr>
    </w:tbl>
    <w:p w:rsidR="002D546B" w:rsidRDefault="002D546B"/>
    <w:tbl>
      <w:tblPr>
        <w:tblStyle w:val="MediumShading1-Accent3"/>
        <w:tblW w:w="0" w:type="auto"/>
        <w:tblLook w:val="04A0"/>
      </w:tblPr>
      <w:tblGrid>
        <w:gridCol w:w="9576"/>
      </w:tblGrid>
      <w:tr w:rsidR="00B13F90" w:rsidTr="00B13F90">
        <w:trPr>
          <w:cnfStyle w:val="100000000000"/>
        </w:trPr>
        <w:tc>
          <w:tcPr>
            <w:cnfStyle w:val="001000000000"/>
            <w:tcW w:w="9576" w:type="dxa"/>
          </w:tcPr>
          <w:p w:rsidR="00B13F90" w:rsidRDefault="00D22EA5">
            <w:r>
              <w:t>MEMORY AIDES</w:t>
            </w:r>
          </w:p>
        </w:tc>
      </w:tr>
      <w:tr w:rsidR="00B13F90" w:rsidTr="00B13F90">
        <w:trPr>
          <w:cnfStyle w:val="000000100000"/>
        </w:trPr>
        <w:tc>
          <w:tcPr>
            <w:cnfStyle w:val="001000000000"/>
            <w:tcW w:w="9576" w:type="dxa"/>
          </w:tcPr>
          <w:p w:rsidR="00BB5C09" w:rsidRDefault="00BB5C09" w:rsidP="000F65FC"/>
          <w:p w:rsidR="00D22EA5" w:rsidRDefault="00D22EA5" w:rsidP="000F65FC">
            <w:r>
              <w:t>LEFT IS LESS</w:t>
            </w:r>
            <w:r>
              <w:br/>
            </w:r>
          </w:p>
          <w:p w:rsidR="00D22EA5" w:rsidRDefault="00D22EA5" w:rsidP="000F65FC">
            <w:r>
              <w:t>The Negative Sign points left therefore negative numbers are left of the zero.</w:t>
            </w:r>
          </w:p>
          <w:p w:rsidR="00D22EA5" w:rsidRDefault="00D22EA5" w:rsidP="000F65FC"/>
        </w:tc>
      </w:tr>
    </w:tbl>
    <w:p w:rsidR="00B13F90" w:rsidRDefault="00B13F90"/>
    <w:sectPr w:rsidR="00B13F90" w:rsidSect="005F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311"/>
    <w:multiLevelType w:val="hybridMultilevel"/>
    <w:tmpl w:val="B90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8726B"/>
    <w:multiLevelType w:val="hybridMultilevel"/>
    <w:tmpl w:val="2DD8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07CC8"/>
    <w:multiLevelType w:val="hybridMultilevel"/>
    <w:tmpl w:val="1686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161A"/>
    <w:multiLevelType w:val="hybridMultilevel"/>
    <w:tmpl w:val="56D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538BB"/>
    <w:multiLevelType w:val="hybridMultilevel"/>
    <w:tmpl w:val="6C12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4CB5"/>
    <w:rsid w:val="00035BB0"/>
    <w:rsid w:val="00044D0D"/>
    <w:rsid w:val="000F65FC"/>
    <w:rsid w:val="001150B2"/>
    <w:rsid w:val="00147A5F"/>
    <w:rsid w:val="0019757D"/>
    <w:rsid w:val="001D368D"/>
    <w:rsid w:val="001D47A3"/>
    <w:rsid w:val="00206709"/>
    <w:rsid w:val="002976A0"/>
    <w:rsid w:val="002C20BF"/>
    <w:rsid w:val="002D546B"/>
    <w:rsid w:val="002E3035"/>
    <w:rsid w:val="002F4CB5"/>
    <w:rsid w:val="0031253F"/>
    <w:rsid w:val="00313229"/>
    <w:rsid w:val="00351063"/>
    <w:rsid w:val="00370FC2"/>
    <w:rsid w:val="00564640"/>
    <w:rsid w:val="005D31F7"/>
    <w:rsid w:val="005D7BED"/>
    <w:rsid w:val="005F6A34"/>
    <w:rsid w:val="006205EA"/>
    <w:rsid w:val="006B43E5"/>
    <w:rsid w:val="006B5288"/>
    <w:rsid w:val="006F3E96"/>
    <w:rsid w:val="00705C4F"/>
    <w:rsid w:val="00757556"/>
    <w:rsid w:val="0077646E"/>
    <w:rsid w:val="007C644C"/>
    <w:rsid w:val="00803246"/>
    <w:rsid w:val="00960ACD"/>
    <w:rsid w:val="00984B24"/>
    <w:rsid w:val="00987C50"/>
    <w:rsid w:val="00A97A08"/>
    <w:rsid w:val="00B109DB"/>
    <w:rsid w:val="00B13F90"/>
    <w:rsid w:val="00B36FC4"/>
    <w:rsid w:val="00B91224"/>
    <w:rsid w:val="00BB5C09"/>
    <w:rsid w:val="00C22D71"/>
    <w:rsid w:val="00C46BD5"/>
    <w:rsid w:val="00CB27F8"/>
    <w:rsid w:val="00D22EA5"/>
    <w:rsid w:val="00D27253"/>
    <w:rsid w:val="00DF4A03"/>
    <w:rsid w:val="00E11314"/>
    <w:rsid w:val="00E141E4"/>
    <w:rsid w:val="00E85009"/>
    <w:rsid w:val="00E931BC"/>
    <w:rsid w:val="00F3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hadowcolor="none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F4CB5"/>
    <w:pPr>
      <w:spacing w:after="0" w:line="240" w:lineRule="auto"/>
    </w:pPr>
    <w:rPr>
      <w:color w:val="DE9306" w:themeColor="accent4" w:themeShade="BF"/>
    </w:rPr>
    <w:tblPr>
      <w:tblStyleRowBandSize w:val="1"/>
      <w:tblStyleColBandSize w:val="1"/>
      <w:tblInd w:w="0" w:type="dxa"/>
      <w:tblBorders>
        <w:top w:val="single" w:sz="8" w:space="0" w:color="F9B639" w:themeColor="accent4"/>
        <w:bottom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60AC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Ind w:w="0" w:type="dxa"/>
      <w:tblBorders>
        <w:top w:val="single" w:sz="8" w:space="0" w:color="DE6C36" w:themeColor="accent3"/>
        <w:bottom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D546B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Ind w:w="0" w:type="dxa"/>
      <w:tblBorders>
        <w:top w:val="single" w:sz="8" w:space="0" w:color="AC66BB" w:themeColor="accent2"/>
        <w:bottom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B5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24</cp:revision>
  <dcterms:created xsi:type="dcterms:W3CDTF">2009-06-29T15:21:00Z</dcterms:created>
  <dcterms:modified xsi:type="dcterms:W3CDTF">2009-07-21T13:34:00Z</dcterms:modified>
</cp:coreProperties>
</file>