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3d Printer Knowledge Assessment/Competence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demonstrated how to do the following using the 3d software using the maintenance command: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 on the computer and 3d printer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Load filament into the machine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Extrude filament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a job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Withdraw filament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defined the reason for the commands: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Initialize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 level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Nozzle height detect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 preheat 15 mins.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preview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 or F:  I should NOT turn off the 3d machine when it is loaded with filament.</w:t>
        <w:br w:type="textWrapping"/>
        <w:t xml:space="preserve">Why or why not?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I were to turn on a 3d printer and computer I would complete the following steps in order (1-10 from above)</w:t>
      </w:r>
    </w:p>
    <w:tbl>
      <w:tblPr>
        <w:tblStyle w:val="Table1"/>
        <w:tblW w:w="8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5"/>
        <w:gridCol w:w="7090"/>
        <w:tblGridChange w:id="0">
          <w:tblGrid>
            <w:gridCol w:w="1285"/>
            <w:gridCol w:w="7090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 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 item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